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F7" w:rsidRPr="006B5B04" w:rsidRDefault="00F35BE0" w:rsidP="00AC56F7">
      <w:pPr>
        <w:jc w:val="center"/>
        <w:rPr>
          <w:b/>
          <w:sz w:val="52"/>
          <w:szCs w:val="52"/>
        </w:rPr>
      </w:pPr>
      <w:r>
        <w:rPr>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8.9pt;margin-top:28.05pt;width:254.2pt;height:222.45pt;z-index:-251658752;mso-position-horizontal-relative:page;mso-position-vertical-relative:page">
            <v:imagedata r:id="rId9" o:title="ACTcol"/>
            <w10:wrap anchorx="page" anchory="page"/>
          </v:shape>
        </w:pict>
      </w:r>
    </w:p>
    <w:p w:rsidR="00AC56F7" w:rsidRPr="006B5B04" w:rsidRDefault="00AC56F7" w:rsidP="00AC56F7">
      <w:pPr>
        <w:jc w:val="center"/>
        <w:rPr>
          <w:b/>
          <w:sz w:val="52"/>
          <w:szCs w:val="52"/>
        </w:rPr>
      </w:pPr>
    </w:p>
    <w:p w:rsidR="00AC56F7" w:rsidRPr="006B5B04" w:rsidRDefault="00AC56F7" w:rsidP="00AC56F7">
      <w:pPr>
        <w:jc w:val="center"/>
        <w:rPr>
          <w:b/>
          <w:sz w:val="52"/>
          <w:szCs w:val="52"/>
        </w:rPr>
      </w:pPr>
    </w:p>
    <w:p w:rsidR="00AC56F7" w:rsidRPr="006B5B04" w:rsidRDefault="00AC56F7" w:rsidP="00AC56F7">
      <w:pPr>
        <w:jc w:val="center"/>
        <w:rPr>
          <w:b/>
          <w:sz w:val="52"/>
          <w:szCs w:val="52"/>
        </w:rPr>
      </w:pPr>
    </w:p>
    <w:p w:rsidR="00AC56F7" w:rsidRPr="006B5B04" w:rsidRDefault="00AC56F7" w:rsidP="00AC56F7">
      <w:pPr>
        <w:jc w:val="center"/>
        <w:rPr>
          <w:b/>
          <w:sz w:val="52"/>
          <w:szCs w:val="52"/>
        </w:rPr>
      </w:pPr>
    </w:p>
    <w:p w:rsidR="00AC56F7" w:rsidRPr="00AD3F80" w:rsidRDefault="00E0213F" w:rsidP="00AD3F80">
      <w:pPr>
        <w:pStyle w:val="Title"/>
        <w:rPr>
          <w:rFonts w:eastAsiaTheme="majorEastAsia"/>
        </w:rPr>
      </w:pPr>
      <w:bookmarkStart w:id="0" w:name="_Toc412196630"/>
      <w:r w:rsidRPr="00AD3F80">
        <w:rPr>
          <w:rFonts w:eastAsiaTheme="majorEastAsia"/>
        </w:rPr>
        <w:t xml:space="preserve">Options to </w:t>
      </w:r>
      <w:r w:rsidR="00CA3C9B" w:rsidRPr="00AD3F80">
        <w:rPr>
          <w:rFonts w:eastAsiaTheme="majorEastAsia"/>
        </w:rPr>
        <w:t xml:space="preserve">Limit </w:t>
      </w:r>
      <w:r w:rsidRPr="00AD3F80">
        <w:rPr>
          <w:rFonts w:eastAsiaTheme="majorEastAsia"/>
        </w:rPr>
        <w:t>Consumer Exposure to H</w:t>
      </w:r>
      <w:r w:rsidR="00CA3C9B" w:rsidRPr="00AD3F80">
        <w:rPr>
          <w:rFonts w:eastAsiaTheme="majorEastAsia"/>
        </w:rPr>
        <w:t xml:space="preserve">azardous </w:t>
      </w:r>
      <w:r w:rsidRPr="00AD3F80">
        <w:rPr>
          <w:rFonts w:eastAsiaTheme="majorEastAsia"/>
        </w:rPr>
        <w:t xml:space="preserve">Azo Dyes </w:t>
      </w:r>
      <w:r w:rsidR="00CA3C9B" w:rsidRPr="00AD3F80">
        <w:rPr>
          <w:rFonts w:eastAsiaTheme="majorEastAsia"/>
        </w:rPr>
        <w:t xml:space="preserve">in </w:t>
      </w:r>
      <w:r w:rsidRPr="00AD3F80">
        <w:rPr>
          <w:rFonts w:eastAsiaTheme="majorEastAsia"/>
        </w:rPr>
        <w:t>C</w:t>
      </w:r>
      <w:r w:rsidR="00CA3C9B" w:rsidRPr="00AD3F80">
        <w:rPr>
          <w:rFonts w:eastAsiaTheme="majorEastAsia"/>
        </w:rPr>
        <w:t>ertain</w:t>
      </w:r>
      <w:r w:rsidRPr="00AD3F80">
        <w:rPr>
          <w:rFonts w:eastAsiaTheme="majorEastAsia"/>
        </w:rPr>
        <w:t xml:space="preserve"> Clothing, Textiles and Leather G</w:t>
      </w:r>
      <w:r w:rsidR="00651861" w:rsidRPr="00AD3F80">
        <w:rPr>
          <w:rFonts w:eastAsiaTheme="majorEastAsia"/>
        </w:rPr>
        <w:t>oods</w:t>
      </w:r>
      <w:bookmarkEnd w:id="0"/>
    </w:p>
    <w:p w:rsidR="00AD3F80" w:rsidRDefault="00AD3F80" w:rsidP="00AD3F80">
      <w:pPr>
        <w:pStyle w:val="Subtitle"/>
        <w:rPr>
          <w:rFonts w:eastAsiaTheme="minorHAnsi" w:cstheme="minorBidi"/>
        </w:rPr>
      </w:pPr>
    </w:p>
    <w:p w:rsidR="00CA3C9B" w:rsidRDefault="00E0213F" w:rsidP="00AD3F80">
      <w:pPr>
        <w:pStyle w:val="Subtitle"/>
        <w:rPr>
          <w:rFonts w:eastAsiaTheme="minorHAnsi" w:cstheme="minorBidi"/>
        </w:rPr>
      </w:pPr>
      <w:r w:rsidRPr="00AD3F80">
        <w:rPr>
          <w:rFonts w:eastAsiaTheme="minorHAnsi" w:cstheme="minorBidi"/>
        </w:rPr>
        <w:t>Draft Regulation Impact S</w:t>
      </w:r>
      <w:r w:rsidR="00CA3C9B" w:rsidRPr="00AD3F80">
        <w:rPr>
          <w:rFonts w:eastAsiaTheme="minorHAnsi" w:cstheme="minorBidi"/>
        </w:rPr>
        <w:t>tatement</w:t>
      </w:r>
    </w:p>
    <w:p w:rsidR="00AD3F80" w:rsidRPr="00AD3F80" w:rsidRDefault="00AD3F80" w:rsidP="00AD3F80">
      <w:pPr>
        <w:pStyle w:val="Subtitle"/>
        <w:rPr>
          <w:rFonts w:eastAsiaTheme="minorHAnsi" w:cstheme="minorBidi"/>
        </w:rPr>
      </w:pPr>
    </w:p>
    <w:p w:rsidR="00AC56F7" w:rsidRPr="006B5B04" w:rsidRDefault="005E60C7" w:rsidP="00AD3F80">
      <w:pPr>
        <w:pStyle w:val="Subtitle"/>
        <w:rPr>
          <w:rFonts w:cs="Arial"/>
          <w:sz w:val="36"/>
        </w:rPr>
      </w:pPr>
      <w:r>
        <w:rPr>
          <w:rFonts w:eastAsiaTheme="minorHAnsi" w:cstheme="minorBidi"/>
        </w:rPr>
        <w:t>2</w:t>
      </w:r>
      <w:r w:rsidR="00C17335">
        <w:rPr>
          <w:rFonts w:eastAsiaTheme="minorHAnsi" w:cstheme="minorBidi"/>
        </w:rPr>
        <w:t>4</w:t>
      </w:r>
      <w:r>
        <w:rPr>
          <w:rFonts w:eastAsiaTheme="minorHAnsi" w:cstheme="minorBidi"/>
        </w:rPr>
        <w:t xml:space="preserve"> </w:t>
      </w:r>
      <w:r w:rsidR="00D858BE">
        <w:rPr>
          <w:rFonts w:eastAsiaTheme="minorHAnsi" w:cstheme="minorBidi"/>
        </w:rPr>
        <w:t>February</w:t>
      </w:r>
      <w:r w:rsidR="00CA0996" w:rsidRPr="00AD3F80">
        <w:rPr>
          <w:rFonts w:eastAsiaTheme="minorHAnsi" w:cstheme="minorBidi"/>
        </w:rPr>
        <w:t xml:space="preserve"> 2015</w:t>
      </w:r>
    </w:p>
    <w:p w:rsidR="00AC56F7" w:rsidRPr="006B5B04" w:rsidRDefault="00AC56F7" w:rsidP="00AC56F7">
      <w:pPr>
        <w:sectPr w:rsidR="00AC56F7" w:rsidRPr="006B5B04" w:rsidSect="00AC56F7">
          <w:headerReference w:type="even" r:id="rId10"/>
          <w:headerReference w:type="default" r:id="rId11"/>
          <w:footerReference w:type="even" r:id="rId12"/>
          <w:footerReference w:type="default" r:id="rId13"/>
          <w:headerReference w:type="first" r:id="rId14"/>
          <w:pgSz w:w="11909" w:h="16834" w:code="9"/>
          <w:pgMar w:top="1440" w:right="1440" w:bottom="1440" w:left="1440" w:header="794" w:footer="1440" w:gutter="0"/>
          <w:pgNumType w:fmt="numberInDash"/>
          <w:cols w:space="720"/>
          <w:titlePg/>
          <w:docGrid w:linePitch="326"/>
        </w:sectPr>
      </w:pPr>
    </w:p>
    <w:p w:rsidR="00AC56F7" w:rsidRPr="006B5B04" w:rsidRDefault="00AC56F7" w:rsidP="00AC56F7"/>
    <w:p w:rsidR="00AC56F7" w:rsidRPr="00035DA3" w:rsidRDefault="00AC56F7" w:rsidP="00AC56F7">
      <w:pPr>
        <w:pStyle w:val="TOCHeading"/>
        <w:rPr>
          <w:rFonts w:ascii="Lucida Fax" w:hAnsi="Lucida Fax"/>
          <w:color w:val="auto"/>
          <w:sz w:val="32"/>
          <w:szCs w:val="32"/>
          <w:lang w:val="en-AU"/>
        </w:rPr>
      </w:pPr>
      <w:r w:rsidRPr="00035DA3">
        <w:rPr>
          <w:rFonts w:ascii="Lucida Fax" w:hAnsi="Lucida Fax"/>
          <w:color w:val="auto"/>
          <w:sz w:val="32"/>
          <w:szCs w:val="32"/>
          <w:lang w:val="en-AU"/>
        </w:rPr>
        <w:t>Contents</w:t>
      </w:r>
    </w:p>
    <w:p w:rsidR="00E73837" w:rsidRPr="00E73837" w:rsidRDefault="00AC56F7">
      <w:pPr>
        <w:pStyle w:val="TOC1"/>
        <w:rPr>
          <w:rFonts w:asciiTheme="minorHAnsi" w:eastAsiaTheme="minorEastAsia" w:hAnsiTheme="minorHAnsi" w:cstheme="minorBidi"/>
          <w:noProof/>
          <w:szCs w:val="22"/>
          <w:lang w:val="en-AU" w:eastAsia="en-AU"/>
        </w:rPr>
      </w:pPr>
      <w:r w:rsidRPr="00E73837">
        <w:rPr>
          <w:rFonts w:asciiTheme="minorHAnsi" w:hAnsiTheme="minorHAnsi" w:cs="Arial"/>
          <w:szCs w:val="22"/>
          <w:lang w:val="en-AU"/>
        </w:rPr>
        <w:fldChar w:fldCharType="begin"/>
      </w:r>
      <w:r w:rsidRPr="00E73837">
        <w:rPr>
          <w:rFonts w:asciiTheme="minorHAnsi" w:hAnsiTheme="minorHAnsi" w:cs="Arial"/>
          <w:szCs w:val="22"/>
          <w:lang w:val="en-AU"/>
        </w:rPr>
        <w:instrText xml:space="preserve"> TOC \o "1-3" \h \z \u </w:instrText>
      </w:r>
      <w:r w:rsidRPr="00E73837">
        <w:rPr>
          <w:rFonts w:asciiTheme="minorHAnsi" w:hAnsiTheme="minorHAnsi" w:cs="Arial"/>
          <w:szCs w:val="22"/>
          <w:lang w:val="en-AU"/>
        </w:rPr>
        <w:fldChar w:fldCharType="separate"/>
      </w:r>
      <w:hyperlink w:anchor="_Toc412196630" w:history="1">
        <w:r w:rsidR="00E73837" w:rsidRPr="00E73837">
          <w:rPr>
            <w:rStyle w:val="Hyperlink"/>
            <w:rFonts w:asciiTheme="minorHAnsi" w:eastAsiaTheme="majorEastAsia" w:hAnsiTheme="minorHAnsi"/>
            <w:noProof/>
            <w:szCs w:val="22"/>
          </w:rPr>
          <w:t>Options to Limit Consumer Exposure to Hazardous Azo Dyes in Certain Clothing, Textiles and Leather Goods</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_Toc412196630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- 1 -</w:t>
        </w:r>
        <w:r w:rsidR="00E73837" w:rsidRPr="00E73837">
          <w:rPr>
            <w:rFonts w:asciiTheme="minorHAnsi" w:hAnsiTheme="minorHAnsi"/>
            <w:noProof/>
            <w:webHidden/>
            <w:szCs w:val="22"/>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31" w:history="1">
        <w:r w:rsidR="00E73837" w:rsidRPr="00E73837">
          <w:rPr>
            <w:rStyle w:val="Hyperlink"/>
            <w:rFonts w:asciiTheme="minorHAnsi" w:hAnsiTheme="minorHAnsi"/>
            <w:noProof/>
            <w:szCs w:val="22"/>
            <w:lang w:val="en-AU"/>
          </w:rPr>
          <w:t>1.</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lang w:val="en-AU"/>
          </w:rPr>
          <w:t>Introduction</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_Toc412196631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- 3 -</w:t>
        </w:r>
        <w:r w:rsidR="00E73837" w:rsidRPr="00E73837">
          <w:rPr>
            <w:rFonts w:asciiTheme="minorHAnsi" w:hAnsiTheme="minorHAnsi"/>
            <w:noProof/>
            <w:webHidden/>
            <w:szCs w:val="22"/>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32" w:history="1">
        <w:r w:rsidR="00E73837" w:rsidRPr="00E73837">
          <w:rPr>
            <w:rStyle w:val="Hyperlink"/>
            <w:rFonts w:asciiTheme="minorHAnsi" w:hAnsiTheme="minorHAnsi"/>
            <w:noProof/>
            <w:szCs w:val="22"/>
            <w:lang w:val="en-AU"/>
          </w:rPr>
          <w:t>2.</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lang w:val="en-AU"/>
          </w:rPr>
          <w:t>The problem</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_Toc412196632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- 5 -</w:t>
        </w:r>
        <w:r w:rsidR="00E73837" w:rsidRPr="00E73837">
          <w:rPr>
            <w:rFonts w:asciiTheme="minorHAnsi" w:hAnsiTheme="minorHAnsi"/>
            <w:noProof/>
            <w:webHidden/>
            <w:szCs w:val="22"/>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33" w:history="1">
        <w:r w:rsidR="00E73837" w:rsidRPr="00E73837">
          <w:rPr>
            <w:rStyle w:val="Hyperlink"/>
            <w:rFonts w:asciiTheme="minorHAnsi" w:hAnsiTheme="minorHAnsi"/>
            <w:noProof/>
            <w:szCs w:val="22"/>
            <w:lang w:val="en-AU"/>
          </w:rPr>
          <w:t>3.</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lang w:val="en-AU"/>
          </w:rPr>
          <w:t>Is Government action needed?</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_Toc412196633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- 15 -</w:t>
        </w:r>
        <w:r w:rsidR="00E73837" w:rsidRPr="00E73837">
          <w:rPr>
            <w:rFonts w:asciiTheme="minorHAnsi" w:hAnsiTheme="minorHAnsi"/>
            <w:noProof/>
            <w:webHidden/>
            <w:szCs w:val="22"/>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34" w:history="1">
        <w:r w:rsidR="00E73837" w:rsidRPr="00E73837">
          <w:rPr>
            <w:rStyle w:val="Hyperlink"/>
            <w:rFonts w:asciiTheme="minorHAnsi" w:hAnsiTheme="minorHAnsi"/>
            <w:noProof/>
            <w:szCs w:val="22"/>
          </w:rPr>
          <w:t>4.</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rPr>
          <w:t>Policy options under consideration</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_Toc412196634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- 16 -</w:t>
        </w:r>
        <w:r w:rsidR="00E73837" w:rsidRPr="00E73837">
          <w:rPr>
            <w:rFonts w:asciiTheme="minorHAnsi" w:hAnsiTheme="minorHAnsi"/>
            <w:noProof/>
            <w:webHidden/>
            <w:szCs w:val="22"/>
          </w:rPr>
          <w:fldChar w:fldCharType="end"/>
        </w:r>
      </w:hyperlink>
    </w:p>
    <w:p w:rsidR="00E73837" w:rsidRPr="00E73837" w:rsidRDefault="00F35BE0">
      <w:pPr>
        <w:pStyle w:val="TOC2"/>
        <w:rPr>
          <w:rFonts w:asciiTheme="minorHAnsi" w:eastAsiaTheme="minorEastAsia" w:hAnsiTheme="minorHAnsi" w:cstheme="minorBidi"/>
          <w:noProof/>
          <w:lang w:eastAsia="en-AU"/>
        </w:rPr>
      </w:pPr>
      <w:hyperlink w:anchor="_Toc412196635" w:history="1">
        <w:r w:rsidR="00E73837" w:rsidRPr="00E73837">
          <w:rPr>
            <w:rStyle w:val="Hyperlink"/>
            <w:rFonts w:asciiTheme="minorHAnsi" w:hAnsiTheme="minorHAnsi" w:cs="Arial"/>
            <w:noProof/>
          </w:rPr>
          <w:t>4.1</w:t>
        </w:r>
        <w:r w:rsidR="00E73837" w:rsidRPr="00E73837">
          <w:rPr>
            <w:rFonts w:asciiTheme="minorHAnsi" w:eastAsiaTheme="minorEastAsia" w:hAnsiTheme="minorHAnsi" w:cstheme="minorBidi"/>
            <w:noProof/>
            <w:lang w:eastAsia="en-AU"/>
          </w:rPr>
          <w:tab/>
        </w:r>
        <w:r w:rsidR="00E73837">
          <w:rPr>
            <w:rFonts w:asciiTheme="minorHAnsi" w:eastAsiaTheme="minorEastAsia" w:hAnsiTheme="minorHAnsi" w:cstheme="minorBidi"/>
            <w:noProof/>
            <w:lang w:eastAsia="en-AU"/>
          </w:rPr>
          <w:t xml:space="preserve">   </w:t>
        </w:r>
        <w:r w:rsidR="00E73837" w:rsidRPr="00E73837">
          <w:rPr>
            <w:rStyle w:val="Hyperlink"/>
            <w:rFonts w:asciiTheme="minorHAnsi" w:hAnsiTheme="minorHAnsi" w:cs="Arial"/>
            <w:noProof/>
          </w:rPr>
          <w:t>Option 1: Status quo (continued industry self-regulation)</w:t>
        </w:r>
        <w:r w:rsidR="00E73837" w:rsidRPr="00E73837">
          <w:rPr>
            <w:rFonts w:asciiTheme="minorHAnsi" w:hAnsiTheme="minorHAnsi"/>
            <w:noProof/>
            <w:webHidden/>
          </w:rPr>
          <w:tab/>
        </w:r>
        <w:r w:rsidR="00E73837" w:rsidRPr="00E73837">
          <w:rPr>
            <w:rFonts w:asciiTheme="minorHAnsi" w:hAnsiTheme="minorHAnsi"/>
            <w:noProof/>
            <w:webHidden/>
          </w:rPr>
          <w:fldChar w:fldCharType="begin"/>
        </w:r>
        <w:r w:rsidR="00E73837" w:rsidRPr="00E73837">
          <w:rPr>
            <w:rFonts w:asciiTheme="minorHAnsi" w:hAnsiTheme="minorHAnsi"/>
            <w:noProof/>
            <w:webHidden/>
          </w:rPr>
          <w:instrText xml:space="preserve"> PAGEREF _Toc412196635 \h </w:instrText>
        </w:r>
        <w:r w:rsidR="00E73837" w:rsidRPr="00E73837">
          <w:rPr>
            <w:rFonts w:asciiTheme="minorHAnsi" w:hAnsiTheme="minorHAnsi"/>
            <w:noProof/>
            <w:webHidden/>
          </w:rPr>
        </w:r>
        <w:r w:rsidR="00E73837" w:rsidRPr="00E73837">
          <w:rPr>
            <w:rFonts w:asciiTheme="minorHAnsi" w:hAnsiTheme="minorHAnsi"/>
            <w:noProof/>
            <w:webHidden/>
          </w:rPr>
          <w:fldChar w:fldCharType="separate"/>
        </w:r>
        <w:r w:rsidR="00E73837" w:rsidRPr="00E73837">
          <w:rPr>
            <w:rFonts w:asciiTheme="minorHAnsi" w:hAnsiTheme="minorHAnsi"/>
            <w:noProof/>
            <w:webHidden/>
          </w:rPr>
          <w:t>- 17 -</w:t>
        </w:r>
        <w:r w:rsidR="00E73837" w:rsidRPr="00E73837">
          <w:rPr>
            <w:rFonts w:asciiTheme="minorHAnsi" w:hAnsiTheme="minorHAnsi"/>
            <w:noProof/>
            <w:webHidden/>
          </w:rPr>
          <w:fldChar w:fldCharType="end"/>
        </w:r>
      </w:hyperlink>
    </w:p>
    <w:p w:rsidR="00E73837" w:rsidRPr="00E73837" w:rsidRDefault="00F35BE0">
      <w:pPr>
        <w:pStyle w:val="TOC2"/>
        <w:rPr>
          <w:rFonts w:asciiTheme="minorHAnsi" w:eastAsiaTheme="minorEastAsia" w:hAnsiTheme="minorHAnsi" w:cstheme="minorBidi"/>
          <w:noProof/>
          <w:lang w:eastAsia="en-AU"/>
        </w:rPr>
      </w:pPr>
      <w:hyperlink w:anchor="_Toc412196636" w:history="1">
        <w:r w:rsidR="00E73837" w:rsidRPr="00E73837">
          <w:rPr>
            <w:rStyle w:val="Hyperlink"/>
            <w:rFonts w:asciiTheme="minorHAnsi" w:hAnsiTheme="minorHAnsi" w:cs="Arial"/>
            <w:noProof/>
          </w:rPr>
          <w:t>4.2</w:t>
        </w:r>
        <w:r w:rsidR="00E73837" w:rsidRPr="00E73837">
          <w:rPr>
            <w:rFonts w:asciiTheme="minorHAnsi" w:eastAsiaTheme="minorEastAsia" w:hAnsiTheme="minorHAnsi" w:cstheme="minorBidi"/>
            <w:noProof/>
            <w:lang w:eastAsia="en-AU"/>
          </w:rPr>
          <w:tab/>
        </w:r>
        <w:r w:rsidR="00E73837">
          <w:rPr>
            <w:rFonts w:asciiTheme="minorHAnsi" w:eastAsiaTheme="minorEastAsia" w:hAnsiTheme="minorHAnsi" w:cstheme="minorBidi"/>
            <w:noProof/>
            <w:lang w:eastAsia="en-AU"/>
          </w:rPr>
          <w:t xml:space="preserve">   </w:t>
        </w:r>
        <w:r w:rsidR="00E73837" w:rsidRPr="00E73837">
          <w:rPr>
            <w:rStyle w:val="Hyperlink"/>
            <w:rFonts w:asciiTheme="minorHAnsi" w:hAnsiTheme="minorHAnsi" w:cs="Arial"/>
            <w:noProof/>
          </w:rPr>
          <w:t>Option 2: Increased education and on-going ACCC surveys</w:t>
        </w:r>
        <w:r w:rsidR="00E73837" w:rsidRPr="00E73837">
          <w:rPr>
            <w:rFonts w:asciiTheme="minorHAnsi" w:hAnsiTheme="minorHAnsi"/>
            <w:noProof/>
            <w:webHidden/>
          </w:rPr>
          <w:tab/>
        </w:r>
        <w:r w:rsidR="00E73837" w:rsidRPr="00E73837">
          <w:rPr>
            <w:rFonts w:asciiTheme="minorHAnsi" w:hAnsiTheme="minorHAnsi"/>
            <w:noProof/>
            <w:webHidden/>
          </w:rPr>
          <w:fldChar w:fldCharType="begin"/>
        </w:r>
        <w:r w:rsidR="00E73837" w:rsidRPr="00E73837">
          <w:rPr>
            <w:rFonts w:asciiTheme="minorHAnsi" w:hAnsiTheme="minorHAnsi"/>
            <w:noProof/>
            <w:webHidden/>
          </w:rPr>
          <w:instrText xml:space="preserve"> PAGEREF _Toc412196636 \h </w:instrText>
        </w:r>
        <w:r w:rsidR="00E73837" w:rsidRPr="00E73837">
          <w:rPr>
            <w:rFonts w:asciiTheme="minorHAnsi" w:hAnsiTheme="minorHAnsi"/>
            <w:noProof/>
            <w:webHidden/>
          </w:rPr>
        </w:r>
        <w:r w:rsidR="00E73837" w:rsidRPr="00E73837">
          <w:rPr>
            <w:rFonts w:asciiTheme="minorHAnsi" w:hAnsiTheme="minorHAnsi"/>
            <w:noProof/>
            <w:webHidden/>
          </w:rPr>
          <w:fldChar w:fldCharType="separate"/>
        </w:r>
        <w:r w:rsidR="00E73837" w:rsidRPr="00E73837">
          <w:rPr>
            <w:rFonts w:asciiTheme="minorHAnsi" w:hAnsiTheme="minorHAnsi"/>
            <w:noProof/>
            <w:webHidden/>
          </w:rPr>
          <w:t>- 17 -</w:t>
        </w:r>
        <w:r w:rsidR="00E73837" w:rsidRPr="00E73837">
          <w:rPr>
            <w:rFonts w:asciiTheme="minorHAnsi" w:hAnsiTheme="minorHAnsi"/>
            <w:noProof/>
            <w:webHidden/>
          </w:rPr>
          <w:fldChar w:fldCharType="end"/>
        </w:r>
      </w:hyperlink>
    </w:p>
    <w:p w:rsidR="00E73837" w:rsidRPr="00E73837" w:rsidRDefault="00F35BE0">
      <w:pPr>
        <w:pStyle w:val="TOC2"/>
        <w:rPr>
          <w:rFonts w:asciiTheme="minorHAnsi" w:eastAsiaTheme="minorEastAsia" w:hAnsiTheme="minorHAnsi" w:cstheme="minorBidi"/>
          <w:noProof/>
          <w:lang w:eastAsia="en-AU"/>
        </w:rPr>
      </w:pPr>
      <w:hyperlink w:anchor="_Toc412196637" w:history="1">
        <w:r w:rsidR="00E73837" w:rsidRPr="00E73837">
          <w:rPr>
            <w:rStyle w:val="Hyperlink"/>
            <w:rFonts w:asciiTheme="minorHAnsi" w:hAnsiTheme="minorHAnsi" w:cs="Arial"/>
            <w:noProof/>
          </w:rPr>
          <w:t>4.3</w:t>
        </w:r>
        <w:r w:rsidR="00E73837" w:rsidRPr="00E73837">
          <w:rPr>
            <w:rFonts w:asciiTheme="minorHAnsi" w:eastAsiaTheme="minorEastAsia" w:hAnsiTheme="minorHAnsi" w:cstheme="minorBidi"/>
            <w:noProof/>
            <w:lang w:eastAsia="en-AU"/>
          </w:rPr>
          <w:tab/>
        </w:r>
        <w:r w:rsidR="00E73837">
          <w:rPr>
            <w:rFonts w:asciiTheme="minorHAnsi" w:eastAsiaTheme="minorEastAsia" w:hAnsiTheme="minorHAnsi" w:cstheme="minorBidi"/>
            <w:noProof/>
            <w:lang w:eastAsia="en-AU"/>
          </w:rPr>
          <w:t xml:space="preserve">   </w:t>
        </w:r>
        <w:r w:rsidR="00E73837" w:rsidRPr="00E73837">
          <w:rPr>
            <w:rStyle w:val="Hyperlink"/>
            <w:rFonts w:asciiTheme="minorHAnsi" w:hAnsiTheme="minorHAnsi" w:cs="Arial"/>
            <w:noProof/>
          </w:rPr>
          <w:t>Option 3: Regulation via a mandatory safety standard or permanent ban</w:t>
        </w:r>
        <w:r w:rsidR="00E73837" w:rsidRPr="00E73837">
          <w:rPr>
            <w:rFonts w:asciiTheme="minorHAnsi" w:hAnsiTheme="minorHAnsi"/>
            <w:noProof/>
            <w:webHidden/>
          </w:rPr>
          <w:tab/>
        </w:r>
        <w:r w:rsidR="00E73837" w:rsidRPr="00E73837">
          <w:rPr>
            <w:rFonts w:asciiTheme="minorHAnsi" w:hAnsiTheme="minorHAnsi"/>
            <w:noProof/>
            <w:webHidden/>
          </w:rPr>
          <w:fldChar w:fldCharType="begin"/>
        </w:r>
        <w:r w:rsidR="00E73837" w:rsidRPr="00E73837">
          <w:rPr>
            <w:rFonts w:asciiTheme="minorHAnsi" w:hAnsiTheme="minorHAnsi"/>
            <w:noProof/>
            <w:webHidden/>
          </w:rPr>
          <w:instrText xml:space="preserve"> PAGEREF _Toc412196637 \h </w:instrText>
        </w:r>
        <w:r w:rsidR="00E73837" w:rsidRPr="00E73837">
          <w:rPr>
            <w:rFonts w:asciiTheme="minorHAnsi" w:hAnsiTheme="minorHAnsi"/>
            <w:noProof/>
            <w:webHidden/>
          </w:rPr>
        </w:r>
        <w:r w:rsidR="00E73837" w:rsidRPr="00E73837">
          <w:rPr>
            <w:rFonts w:asciiTheme="minorHAnsi" w:hAnsiTheme="minorHAnsi"/>
            <w:noProof/>
            <w:webHidden/>
          </w:rPr>
          <w:fldChar w:fldCharType="separate"/>
        </w:r>
        <w:r w:rsidR="00E73837" w:rsidRPr="00E73837">
          <w:rPr>
            <w:rFonts w:asciiTheme="minorHAnsi" w:hAnsiTheme="minorHAnsi"/>
            <w:noProof/>
            <w:webHidden/>
          </w:rPr>
          <w:t>- 18 -</w:t>
        </w:r>
        <w:r w:rsidR="00E73837" w:rsidRPr="00E73837">
          <w:rPr>
            <w:rFonts w:asciiTheme="minorHAnsi" w:hAnsiTheme="minorHAnsi"/>
            <w:noProof/>
            <w:webHidden/>
          </w:rPr>
          <w:fldChar w:fldCharType="end"/>
        </w:r>
      </w:hyperlink>
    </w:p>
    <w:p w:rsidR="00E73837" w:rsidRPr="00E73837" w:rsidRDefault="00F35BE0">
      <w:pPr>
        <w:pStyle w:val="TOC2"/>
        <w:rPr>
          <w:rFonts w:asciiTheme="minorHAnsi" w:eastAsiaTheme="minorEastAsia" w:hAnsiTheme="minorHAnsi" w:cstheme="minorBidi"/>
          <w:noProof/>
          <w:lang w:eastAsia="en-AU"/>
        </w:rPr>
      </w:pPr>
      <w:hyperlink w:anchor="_Toc412196638" w:history="1">
        <w:r w:rsidR="00E73837" w:rsidRPr="00E73837">
          <w:rPr>
            <w:rStyle w:val="Hyperlink"/>
            <w:rFonts w:asciiTheme="minorHAnsi" w:hAnsiTheme="minorHAnsi" w:cs="Arial"/>
            <w:noProof/>
          </w:rPr>
          <w:t>4.4</w:t>
        </w:r>
        <w:r w:rsidR="00E73837" w:rsidRPr="00E73837">
          <w:rPr>
            <w:rFonts w:asciiTheme="minorHAnsi" w:eastAsiaTheme="minorEastAsia" w:hAnsiTheme="minorHAnsi" w:cstheme="minorBidi"/>
            <w:noProof/>
            <w:lang w:eastAsia="en-AU"/>
          </w:rPr>
          <w:tab/>
        </w:r>
        <w:r w:rsidR="00E73837">
          <w:rPr>
            <w:rFonts w:asciiTheme="minorHAnsi" w:eastAsiaTheme="minorEastAsia" w:hAnsiTheme="minorHAnsi" w:cstheme="minorBidi"/>
            <w:noProof/>
            <w:lang w:eastAsia="en-AU"/>
          </w:rPr>
          <w:t xml:space="preserve">   </w:t>
        </w:r>
        <w:r w:rsidR="00E73837" w:rsidRPr="00E73837">
          <w:rPr>
            <w:rStyle w:val="Hyperlink"/>
            <w:rFonts w:asciiTheme="minorHAnsi" w:hAnsiTheme="minorHAnsi" w:cs="Arial"/>
            <w:noProof/>
          </w:rPr>
          <w:t>Option 4: Provision of information to consumers</w:t>
        </w:r>
        <w:r w:rsidR="00E73837" w:rsidRPr="00E73837">
          <w:rPr>
            <w:rFonts w:asciiTheme="minorHAnsi" w:hAnsiTheme="minorHAnsi"/>
            <w:noProof/>
            <w:webHidden/>
          </w:rPr>
          <w:tab/>
        </w:r>
        <w:r w:rsidR="00E73837" w:rsidRPr="00E73837">
          <w:rPr>
            <w:rFonts w:asciiTheme="minorHAnsi" w:hAnsiTheme="minorHAnsi"/>
            <w:noProof/>
            <w:webHidden/>
          </w:rPr>
          <w:fldChar w:fldCharType="begin"/>
        </w:r>
        <w:r w:rsidR="00E73837" w:rsidRPr="00E73837">
          <w:rPr>
            <w:rFonts w:asciiTheme="minorHAnsi" w:hAnsiTheme="minorHAnsi"/>
            <w:noProof/>
            <w:webHidden/>
          </w:rPr>
          <w:instrText xml:space="preserve"> PAGEREF _Toc412196638 \h </w:instrText>
        </w:r>
        <w:r w:rsidR="00E73837" w:rsidRPr="00E73837">
          <w:rPr>
            <w:rFonts w:asciiTheme="minorHAnsi" w:hAnsiTheme="minorHAnsi"/>
            <w:noProof/>
            <w:webHidden/>
          </w:rPr>
        </w:r>
        <w:r w:rsidR="00E73837" w:rsidRPr="00E73837">
          <w:rPr>
            <w:rFonts w:asciiTheme="minorHAnsi" w:hAnsiTheme="minorHAnsi"/>
            <w:noProof/>
            <w:webHidden/>
          </w:rPr>
          <w:fldChar w:fldCharType="separate"/>
        </w:r>
        <w:r w:rsidR="00E73837" w:rsidRPr="00E73837">
          <w:rPr>
            <w:rFonts w:asciiTheme="minorHAnsi" w:hAnsiTheme="minorHAnsi"/>
            <w:noProof/>
            <w:webHidden/>
          </w:rPr>
          <w:t>- 19 -</w:t>
        </w:r>
        <w:r w:rsidR="00E73837" w:rsidRPr="00E73837">
          <w:rPr>
            <w:rFonts w:asciiTheme="minorHAnsi" w:hAnsiTheme="minorHAnsi"/>
            <w:noProof/>
            <w:webHidden/>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39" w:history="1">
        <w:r w:rsidR="00E73837" w:rsidRPr="00E73837">
          <w:rPr>
            <w:rStyle w:val="Hyperlink"/>
            <w:rFonts w:asciiTheme="minorHAnsi" w:hAnsiTheme="minorHAnsi"/>
            <w:noProof/>
            <w:szCs w:val="22"/>
            <w:lang w:val="en-AU"/>
          </w:rPr>
          <w:t>5.</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lang w:val="en-AU"/>
          </w:rPr>
          <w:t>The likely net benefit of each option</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_Toc412196639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- 20 -</w:t>
        </w:r>
        <w:r w:rsidR="00E73837" w:rsidRPr="00E73837">
          <w:rPr>
            <w:rFonts w:asciiTheme="minorHAnsi" w:hAnsiTheme="minorHAnsi"/>
            <w:noProof/>
            <w:webHidden/>
            <w:szCs w:val="22"/>
          </w:rPr>
          <w:fldChar w:fldCharType="end"/>
        </w:r>
      </w:hyperlink>
    </w:p>
    <w:p w:rsidR="00E73837" w:rsidRPr="00E73837" w:rsidRDefault="00F35BE0">
      <w:pPr>
        <w:pStyle w:val="TOC2"/>
        <w:rPr>
          <w:rFonts w:asciiTheme="minorHAnsi" w:eastAsiaTheme="minorEastAsia" w:hAnsiTheme="minorHAnsi" w:cstheme="minorBidi"/>
          <w:noProof/>
          <w:lang w:eastAsia="en-AU"/>
        </w:rPr>
      </w:pPr>
      <w:hyperlink w:anchor="_Toc412196640" w:history="1">
        <w:r w:rsidR="00E73837" w:rsidRPr="00E73837">
          <w:rPr>
            <w:rStyle w:val="Hyperlink"/>
            <w:rFonts w:asciiTheme="minorHAnsi" w:hAnsiTheme="minorHAnsi" w:cs="Arial"/>
            <w:noProof/>
          </w:rPr>
          <w:t>5.1</w:t>
        </w:r>
        <w:r w:rsidR="00E73837" w:rsidRPr="00E73837">
          <w:rPr>
            <w:rFonts w:asciiTheme="minorHAnsi" w:eastAsiaTheme="minorEastAsia" w:hAnsiTheme="minorHAnsi" w:cstheme="minorBidi"/>
            <w:noProof/>
            <w:lang w:eastAsia="en-AU"/>
          </w:rPr>
          <w:tab/>
        </w:r>
        <w:r w:rsidR="00E73837">
          <w:rPr>
            <w:rFonts w:asciiTheme="minorHAnsi" w:eastAsiaTheme="minorEastAsia" w:hAnsiTheme="minorHAnsi" w:cstheme="minorBidi"/>
            <w:noProof/>
            <w:lang w:eastAsia="en-AU"/>
          </w:rPr>
          <w:t xml:space="preserve">   </w:t>
        </w:r>
        <w:r w:rsidR="00E73837" w:rsidRPr="00E73837">
          <w:rPr>
            <w:rStyle w:val="Hyperlink"/>
            <w:rFonts w:asciiTheme="minorHAnsi" w:hAnsiTheme="minorHAnsi" w:cs="Arial"/>
            <w:noProof/>
          </w:rPr>
          <w:t>Option 1: Status quo (continued industry self-regulation)</w:t>
        </w:r>
        <w:r w:rsidR="00E73837" w:rsidRPr="00E73837">
          <w:rPr>
            <w:rFonts w:asciiTheme="minorHAnsi" w:hAnsiTheme="minorHAnsi"/>
            <w:noProof/>
            <w:webHidden/>
          </w:rPr>
          <w:tab/>
        </w:r>
        <w:r w:rsidR="00E73837" w:rsidRPr="00E73837">
          <w:rPr>
            <w:rFonts w:asciiTheme="minorHAnsi" w:hAnsiTheme="minorHAnsi"/>
            <w:noProof/>
            <w:webHidden/>
          </w:rPr>
          <w:fldChar w:fldCharType="begin"/>
        </w:r>
        <w:r w:rsidR="00E73837" w:rsidRPr="00E73837">
          <w:rPr>
            <w:rFonts w:asciiTheme="minorHAnsi" w:hAnsiTheme="minorHAnsi"/>
            <w:noProof/>
            <w:webHidden/>
          </w:rPr>
          <w:instrText xml:space="preserve"> PAGEREF _Toc412196640 \h </w:instrText>
        </w:r>
        <w:r w:rsidR="00E73837" w:rsidRPr="00E73837">
          <w:rPr>
            <w:rFonts w:asciiTheme="minorHAnsi" w:hAnsiTheme="minorHAnsi"/>
            <w:noProof/>
            <w:webHidden/>
          </w:rPr>
        </w:r>
        <w:r w:rsidR="00E73837" w:rsidRPr="00E73837">
          <w:rPr>
            <w:rFonts w:asciiTheme="minorHAnsi" w:hAnsiTheme="minorHAnsi"/>
            <w:noProof/>
            <w:webHidden/>
          </w:rPr>
          <w:fldChar w:fldCharType="separate"/>
        </w:r>
        <w:r w:rsidR="00E73837" w:rsidRPr="00E73837">
          <w:rPr>
            <w:rFonts w:asciiTheme="minorHAnsi" w:hAnsiTheme="minorHAnsi"/>
            <w:noProof/>
            <w:webHidden/>
          </w:rPr>
          <w:t>- 21 -</w:t>
        </w:r>
        <w:r w:rsidR="00E73837" w:rsidRPr="00E73837">
          <w:rPr>
            <w:rFonts w:asciiTheme="minorHAnsi" w:hAnsiTheme="minorHAnsi"/>
            <w:noProof/>
            <w:webHidden/>
          </w:rPr>
          <w:fldChar w:fldCharType="end"/>
        </w:r>
      </w:hyperlink>
    </w:p>
    <w:p w:rsidR="00E73837" w:rsidRPr="00E73837" w:rsidRDefault="00F35BE0">
      <w:pPr>
        <w:pStyle w:val="TOC2"/>
        <w:rPr>
          <w:rFonts w:asciiTheme="minorHAnsi" w:eastAsiaTheme="minorEastAsia" w:hAnsiTheme="minorHAnsi" w:cstheme="minorBidi"/>
          <w:noProof/>
          <w:lang w:eastAsia="en-AU"/>
        </w:rPr>
      </w:pPr>
      <w:hyperlink w:anchor="_Toc412196641" w:history="1">
        <w:r w:rsidR="00E73837" w:rsidRPr="00E73837">
          <w:rPr>
            <w:rStyle w:val="Hyperlink"/>
            <w:rFonts w:asciiTheme="minorHAnsi" w:hAnsiTheme="minorHAnsi" w:cs="Arial"/>
            <w:noProof/>
          </w:rPr>
          <w:t>5.2</w:t>
        </w:r>
        <w:r w:rsidR="00E73837" w:rsidRPr="00E73837">
          <w:rPr>
            <w:rFonts w:asciiTheme="minorHAnsi" w:eastAsiaTheme="minorEastAsia" w:hAnsiTheme="minorHAnsi" w:cstheme="minorBidi"/>
            <w:noProof/>
            <w:lang w:eastAsia="en-AU"/>
          </w:rPr>
          <w:tab/>
        </w:r>
        <w:r w:rsidR="00E73837">
          <w:rPr>
            <w:rFonts w:asciiTheme="minorHAnsi" w:eastAsiaTheme="minorEastAsia" w:hAnsiTheme="minorHAnsi" w:cstheme="minorBidi"/>
            <w:noProof/>
            <w:lang w:eastAsia="en-AU"/>
          </w:rPr>
          <w:t xml:space="preserve">   </w:t>
        </w:r>
        <w:r w:rsidR="00E73837" w:rsidRPr="00E73837">
          <w:rPr>
            <w:rStyle w:val="Hyperlink"/>
            <w:rFonts w:asciiTheme="minorHAnsi" w:hAnsiTheme="minorHAnsi" w:cs="Arial"/>
            <w:noProof/>
          </w:rPr>
          <w:t>Option 2: Increased education and on-going ACCC surveys</w:t>
        </w:r>
        <w:r w:rsidR="00E73837" w:rsidRPr="00E73837">
          <w:rPr>
            <w:rFonts w:asciiTheme="minorHAnsi" w:hAnsiTheme="minorHAnsi"/>
            <w:noProof/>
            <w:webHidden/>
          </w:rPr>
          <w:tab/>
        </w:r>
        <w:r w:rsidR="00E73837" w:rsidRPr="00E73837">
          <w:rPr>
            <w:rFonts w:asciiTheme="minorHAnsi" w:hAnsiTheme="minorHAnsi"/>
            <w:noProof/>
            <w:webHidden/>
          </w:rPr>
          <w:fldChar w:fldCharType="begin"/>
        </w:r>
        <w:r w:rsidR="00E73837" w:rsidRPr="00E73837">
          <w:rPr>
            <w:rFonts w:asciiTheme="minorHAnsi" w:hAnsiTheme="minorHAnsi"/>
            <w:noProof/>
            <w:webHidden/>
          </w:rPr>
          <w:instrText xml:space="preserve"> PAGEREF _Toc412196641 \h </w:instrText>
        </w:r>
        <w:r w:rsidR="00E73837" w:rsidRPr="00E73837">
          <w:rPr>
            <w:rFonts w:asciiTheme="minorHAnsi" w:hAnsiTheme="minorHAnsi"/>
            <w:noProof/>
            <w:webHidden/>
          </w:rPr>
        </w:r>
        <w:r w:rsidR="00E73837" w:rsidRPr="00E73837">
          <w:rPr>
            <w:rFonts w:asciiTheme="minorHAnsi" w:hAnsiTheme="minorHAnsi"/>
            <w:noProof/>
            <w:webHidden/>
          </w:rPr>
          <w:fldChar w:fldCharType="separate"/>
        </w:r>
        <w:r w:rsidR="00E73837" w:rsidRPr="00E73837">
          <w:rPr>
            <w:rFonts w:asciiTheme="minorHAnsi" w:hAnsiTheme="minorHAnsi"/>
            <w:noProof/>
            <w:webHidden/>
          </w:rPr>
          <w:t>- 23 -</w:t>
        </w:r>
        <w:r w:rsidR="00E73837" w:rsidRPr="00E73837">
          <w:rPr>
            <w:rFonts w:asciiTheme="minorHAnsi" w:hAnsiTheme="minorHAnsi"/>
            <w:noProof/>
            <w:webHidden/>
          </w:rPr>
          <w:fldChar w:fldCharType="end"/>
        </w:r>
      </w:hyperlink>
    </w:p>
    <w:p w:rsidR="00E73837" w:rsidRPr="00E73837" w:rsidRDefault="00F35BE0">
      <w:pPr>
        <w:pStyle w:val="TOC2"/>
        <w:rPr>
          <w:rFonts w:asciiTheme="minorHAnsi" w:eastAsiaTheme="minorEastAsia" w:hAnsiTheme="minorHAnsi" w:cstheme="minorBidi"/>
          <w:noProof/>
          <w:lang w:eastAsia="en-AU"/>
        </w:rPr>
      </w:pPr>
      <w:hyperlink w:anchor="_Toc412196642" w:history="1">
        <w:r w:rsidR="00E73837" w:rsidRPr="00E73837">
          <w:rPr>
            <w:rStyle w:val="Hyperlink"/>
            <w:rFonts w:asciiTheme="minorHAnsi" w:hAnsiTheme="minorHAnsi" w:cs="Arial"/>
            <w:noProof/>
          </w:rPr>
          <w:t>5.3</w:t>
        </w:r>
        <w:r w:rsidR="00E73837" w:rsidRPr="00E73837">
          <w:rPr>
            <w:rFonts w:asciiTheme="minorHAnsi" w:eastAsiaTheme="minorEastAsia" w:hAnsiTheme="minorHAnsi" w:cstheme="minorBidi"/>
            <w:noProof/>
            <w:lang w:eastAsia="en-AU"/>
          </w:rPr>
          <w:tab/>
        </w:r>
        <w:r w:rsidR="00E73837">
          <w:rPr>
            <w:rFonts w:asciiTheme="minorHAnsi" w:eastAsiaTheme="minorEastAsia" w:hAnsiTheme="minorHAnsi" w:cstheme="minorBidi"/>
            <w:noProof/>
            <w:lang w:eastAsia="en-AU"/>
          </w:rPr>
          <w:t xml:space="preserve">   </w:t>
        </w:r>
        <w:r w:rsidR="00E73837" w:rsidRPr="00E73837">
          <w:rPr>
            <w:rStyle w:val="Hyperlink"/>
            <w:rFonts w:asciiTheme="minorHAnsi" w:hAnsiTheme="minorHAnsi" w:cs="Arial"/>
            <w:noProof/>
          </w:rPr>
          <w:t>Option 3: Regulation via a mandatory safety standard or permanent ban</w:t>
        </w:r>
        <w:r w:rsidR="00E73837" w:rsidRPr="00E73837">
          <w:rPr>
            <w:rFonts w:asciiTheme="minorHAnsi" w:hAnsiTheme="minorHAnsi"/>
            <w:noProof/>
            <w:webHidden/>
          </w:rPr>
          <w:tab/>
        </w:r>
        <w:r w:rsidR="00E73837" w:rsidRPr="00E73837">
          <w:rPr>
            <w:rFonts w:asciiTheme="minorHAnsi" w:hAnsiTheme="minorHAnsi"/>
            <w:noProof/>
            <w:webHidden/>
          </w:rPr>
          <w:fldChar w:fldCharType="begin"/>
        </w:r>
        <w:r w:rsidR="00E73837" w:rsidRPr="00E73837">
          <w:rPr>
            <w:rFonts w:asciiTheme="minorHAnsi" w:hAnsiTheme="minorHAnsi"/>
            <w:noProof/>
            <w:webHidden/>
          </w:rPr>
          <w:instrText xml:space="preserve"> PAGEREF _Toc412196642 \h </w:instrText>
        </w:r>
        <w:r w:rsidR="00E73837" w:rsidRPr="00E73837">
          <w:rPr>
            <w:rFonts w:asciiTheme="minorHAnsi" w:hAnsiTheme="minorHAnsi"/>
            <w:noProof/>
            <w:webHidden/>
          </w:rPr>
        </w:r>
        <w:r w:rsidR="00E73837" w:rsidRPr="00E73837">
          <w:rPr>
            <w:rFonts w:asciiTheme="minorHAnsi" w:hAnsiTheme="minorHAnsi"/>
            <w:noProof/>
            <w:webHidden/>
          </w:rPr>
          <w:fldChar w:fldCharType="separate"/>
        </w:r>
        <w:r w:rsidR="00E73837" w:rsidRPr="00E73837">
          <w:rPr>
            <w:rFonts w:asciiTheme="minorHAnsi" w:hAnsiTheme="minorHAnsi"/>
            <w:noProof/>
            <w:webHidden/>
          </w:rPr>
          <w:t>- 25 -</w:t>
        </w:r>
        <w:r w:rsidR="00E73837" w:rsidRPr="00E73837">
          <w:rPr>
            <w:rFonts w:asciiTheme="minorHAnsi" w:hAnsiTheme="minorHAnsi"/>
            <w:noProof/>
            <w:webHidden/>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43" w:history="1">
        <w:r w:rsidR="00E73837" w:rsidRPr="00E73837">
          <w:rPr>
            <w:rStyle w:val="Hyperlink"/>
            <w:rFonts w:asciiTheme="minorHAnsi" w:hAnsiTheme="minorHAnsi"/>
            <w:noProof/>
            <w:szCs w:val="22"/>
            <w:lang w:val="en-AU"/>
          </w:rPr>
          <w:t>6.</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lang w:val="en-AU"/>
          </w:rPr>
          <w:t>The preferred option</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_Toc412196643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- 31 -</w:t>
        </w:r>
        <w:r w:rsidR="00E73837" w:rsidRPr="00E73837">
          <w:rPr>
            <w:rFonts w:asciiTheme="minorHAnsi" w:hAnsiTheme="minorHAnsi"/>
            <w:noProof/>
            <w:webHidden/>
            <w:szCs w:val="22"/>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44" w:history="1">
        <w:r w:rsidR="00E73837" w:rsidRPr="00E73837">
          <w:rPr>
            <w:rStyle w:val="Hyperlink"/>
            <w:rFonts w:asciiTheme="minorHAnsi" w:hAnsiTheme="minorHAnsi"/>
            <w:noProof/>
            <w:szCs w:val="22"/>
            <w:lang w:val="en-AU"/>
          </w:rPr>
          <w:t>7.</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lang w:val="en-AU"/>
          </w:rPr>
          <w:t>Implementation and evaluation</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_Toc412196644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- 32 -</w:t>
        </w:r>
        <w:r w:rsidR="00E73837" w:rsidRPr="00E73837">
          <w:rPr>
            <w:rFonts w:asciiTheme="minorHAnsi" w:hAnsiTheme="minorHAnsi"/>
            <w:noProof/>
            <w:webHidden/>
            <w:szCs w:val="22"/>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45" w:history="1">
        <w:r w:rsidR="00E73837" w:rsidRPr="00E73837">
          <w:rPr>
            <w:rStyle w:val="Hyperlink"/>
            <w:rFonts w:asciiTheme="minorHAnsi" w:hAnsiTheme="minorHAnsi"/>
            <w:noProof/>
            <w:szCs w:val="22"/>
            <w:lang w:val="en-AU"/>
          </w:rPr>
          <w:t>8.</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lang w:val="en-AU"/>
          </w:rPr>
          <w:t>Form of possible regulation</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_Toc412196645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- 32 -</w:t>
        </w:r>
        <w:r w:rsidR="00E73837" w:rsidRPr="00E73837">
          <w:rPr>
            <w:rFonts w:asciiTheme="minorHAnsi" w:hAnsiTheme="minorHAnsi"/>
            <w:noProof/>
            <w:webHidden/>
            <w:szCs w:val="22"/>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46" w:history="1">
        <w:r w:rsidR="00E73837" w:rsidRPr="00E73837">
          <w:rPr>
            <w:rStyle w:val="Hyperlink"/>
            <w:rFonts w:asciiTheme="minorHAnsi" w:hAnsiTheme="minorHAnsi"/>
            <w:noProof/>
            <w:szCs w:val="22"/>
            <w:lang w:val="en-AU"/>
          </w:rPr>
          <w:t>9.</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lang w:val="en-AU"/>
          </w:rPr>
          <w:t>Submissions</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_Toc412196646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- 32 -</w:t>
        </w:r>
        <w:r w:rsidR="00E73837" w:rsidRPr="00E73837">
          <w:rPr>
            <w:rFonts w:asciiTheme="minorHAnsi" w:hAnsiTheme="minorHAnsi"/>
            <w:noProof/>
            <w:webHidden/>
            <w:szCs w:val="22"/>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47" w:history="1">
        <w:r w:rsidR="00E73837" w:rsidRPr="00E73837">
          <w:rPr>
            <w:rStyle w:val="Hyperlink"/>
            <w:rFonts w:asciiTheme="minorHAnsi" w:hAnsiTheme="minorHAnsi"/>
            <w:noProof/>
            <w:szCs w:val="22"/>
            <w:lang w:val="en-AU"/>
          </w:rPr>
          <w:t>Attachment 1:</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lang w:val="en-AU"/>
          </w:rPr>
          <w:t>Summary of comments from June 2014 call for information</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_Toc412196647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- 34 -</w:t>
        </w:r>
        <w:r w:rsidR="00E73837" w:rsidRPr="00E73837">
          <w:rPr>
            <w:rFonts w:asciiTheme="minorHAnsi" w:hAnsiTheme="minorHAnsi"/>
            <w:noProof/>
            <w:webHidden/>
            <w:szCs w:val="22"/>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48" w:history="1">
        <w:r w:rsidR="00E73837" w:rsidRPr="00E73837">
          <w:rPr>
            <w:rStyle w:val="Hyperlink"/>
            <w:rFonts w:asciiTheme="minorHAnsi" w:hAnsiTheme="minorHAnsi"/>
            <w:noProof/>
            <w:szCs w:val="22"/>
            <w:lang w:val="en-AU"/>
          </w:rPr>
          <w:t>Attachment 2:</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lang w:val="en-AU"/>
          </w:rPr>
          <w:t>Development of the existing product safety system in Australia</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_Toc412196648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- 35 -</w:t>
        </w:r>
        <w:r w:rsidR="00E73837" w:rsidRPr="00E73837">
          <w:rPr>
            <w:rFonts w:asciiTheme="minorHAnsi" w:hAnsiTheme="minorHAnsi"/>
            <w:noProof/>
            <w:webHidden/>
            <w:szCs w:val="22"/>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49" w:history="1">
        <w:r w:rsidR="00E73837" w:rsidRPr="00E73837">
          <w:rPr>
            <w:rStyle w:val="Hyperlink"/>
            <w:rFonts w:asciiTheme="minorHAnsi" w:hAnsiTheme="minorHAnsi"/>
            <w:noProof/>
            <w:szCs w:val="22"/>
            <w:lang w:val="en-AU"/>
          </w:rPr>
          <w:t>Attachment 3:</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lang w:val="en-AU"/>
          </w:rPr>
          <w:t>The cost of benzidine-based dye exposure</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_Toc412196649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- 37 -</w:t>
        </w:r>
        <w:r w:rsidR="00E73837" w:rsidRPr="00E73837">
          <w:rPr>
            <w:rFonts w:asciiTheme="minorHAnsi" w:hAnsiTheme="minorHAnsi"/>
            <w:noProof/>
            <w:webHidden/>
            <w:szCs w:val="22"/>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50" w:history="1">
        <w:r w:rsidR="00E73837" w:rsidRPr="00E73837">
          <w:rPr>
            <w:rStyle w:val="Hyperlink"/>
            <w:rFonts w:asciiTheme="minorHAnsi" w:hAnsiTheme="minorHAnsi"/>
            <w:noProof/>
            <w:szCs w:val="22"/>
            <w:lang w:val="en-AU"/>
          </w:rPr>
          <w:t>Attachment 4:</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lang w:val="en-AU"/>
          </w:rPr>
          <w:t>Chemicals and textiles</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_Toc412196650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- 39 -</w:t>
        </w:r>
        <w:r w:rsidR="00E73837" w:rsidRPr="00E73837">
          <w:rPr>
            <w:rFonts w:asciiTheme="minorHAnsi" w:hAnsiTheme="minorHAnsi"/>
            <w:noProof/>
            <w:webHidden/>
            <w:szCs w:val="22"/>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51" w:history="1">
        <w:r w:rsidR="00E73837" w:rsidRPr="00E73837">
          <w:rPr>
            <w:rStyle w:val="Hyperlink"/>
            <w:rFonts w:asciiTheme="minorHAnsi" w:hAnsiTheme="minorHAnsi"/>
            <w:noProof/>
            <w:szCs w:val="22"/>
            <w:lang w:val="en-AU"/>
          </w:rPr>
          <w:t>Attachment 5:</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lang w:val="en-AU"/>
          </w:rPr>
          <w:t>Identifying hazardous aromatic amines in goods</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_Toc412196651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- 41 -</w:t>
        </w:r>
        <w:r w:rsidR="00E73837" w:rsidRPr="00E73837">
          <w:rPr>
            <w:rFonts w:asciiTheme="minorHAnsi" w:hAnsiTheme="minorHAnsi"/>
            <w:noProof/>
            <w:webHidden/>
            <w:szCs w:val="22"/>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52" w:history="1">
        <w:r w:rsidR="00E73837" w:rsidRPr="00E73837">
          <w:rPr>
            <w:rStyle w:val="Hyperlink"/>
            <w:rFonts w:asciiTheme="minorHAnsi" w:hAnsiTheme="minorHAnsi"/>
            <w:noProof/>
            <w:szCs w:val="22"/>
          </w:rPr>
          <w:t>Attachment 6:</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rPr>
          <w:t>Constraints and barriers</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_Toc412196652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- 42 -</w:t>
        </w:r>
        <w:r w:rsidR="00E73837" w:rsidRPr="00E73837">
          <w:rPr>
            <w:rFonts w:asciiTheme="minorHAnsi" w:hAnsiTheme="minorHAnsi"/>
            <w:noProof/>
            <w:webHidden/>
            <w:szCs w:val="22"/>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53" w:history="1">
        <w:r w:rsidR="00E73837" w:rsidRPr="00E73837">
          <w:rPr>
            <w:rStyle w:val="Hyperlink"/>
            <w:rFonts w:asciiTheme="minorHAnsi" w:hAnsiTheme="minorHAnsi"/>
            <w:noProof/>
            <w:szCs w:val="22"/>
          </w:rPr>
          <w:t>Attachment 7:</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rPr>
          <w:t>International controls</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_Toc412196653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- 44 -</w:t>
        </w:r>
        <w:r w:rsidR="00E73837" w:rsidRPr="00E73837">
          <w:rPr>
            <w:rFonts w:asciiTheme="minorHAnsi" w:hAnsiTheme="minorHAnsi"/>
            <w:noProof/>
            <w:webHidden/>
            <w:szCs w:val="22"/>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54" w:history="1">
        <w:r w:rsidR="00E73837" w:rsidRPr="00E73837">
          <w:rPr>
            <w:rStyle w:val="Hyperlink"/>
            <w:rFonts w:asciiTheme="minorHAnsi" w:hAnsiTheme="minorHAnsi"/>
            <w:noProof/>
            <w:szCs w:val="22"/>
          </w:rPr>
          <w:t>Attachment 8:</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noProof/>
            <w:szCs w:val="22"/>
          </w:rPr>
          <w:t>Determination of the estimated additional costs to business of option 3</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_Toc412196654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- 46 -</w:t>
        </w:r>
        <w:r w:rsidR="00E73837" w:rsidRPr="00E73837">
          <w:rPr>
            <w:rFonts w:asciiTheme="minorHAnsi" w:hAnsiTheme="minorHAnsi"/>
            <w:noProof/>
            <w:webHidden/>
            <w:szCs w:val="22"/>
          </w:rPr>
          <w:fldChar w:fldCharType="end"/>
        </w:r>
      </w:hyperlink>
    </w:p>
    <w:p w:rsidR="00E73837" w:rsidRPr="00E73837" w:rsidRDefault="00F35BE0">
      <w:pPr>
        <w:pStyle w:val="TOC1"/>
        <w:rPr>
          <w:rFonts w:asciiTheme="minorHAnsi" w:eastAsiaTheme="minorEastAsia" w:hAnsiTheme="minorHAnsi" w:cstheme="minorBidi"/>
          <w:noProof/>
          <w:szCs w:val="22"/>
          <w:lang w:val="en-AU" w:eastAsia="en-AU"/>
        </w:rPr>
      </w:pPr>
      <w:hyperlink w:anchor="_Toc412196655" w:history="1">
        <w:r w:rsidR="00E73837" w:rsidRPr="00E73837">
          <w:rPr>
            <w:rStyle w:val="Hyperlink"/>
            <w:rFonts w:asciiTheme="minorHAnsi" w:hAnsiTheme="minorHAnsi" w:cs="Arial"/>
            <w:noProof/>
            <w:szCs w:val="22"/>
            <w:lang w:val="en-AU"/>
          </w:rPr>
          <w:t>Attachment 9:</w:t>
        </w:r>
        <w:r w:rsidR="00E73837" w:rsidRPr="00E73837">
          <w:rPr>
            <w:rFonts w:asciiTheme="minorHAnsi" w:eastAsiaTheme="minorEastAsia" w:hAnsiTheme="minorHAnsi" w:cstheme="minorBidi"/>
            <w:noProof/>
            <w:szCs w:val="22"/>
            <w:lang w:val="en-AU" w:eastAsia="en-AU"/>
          </w:rPr>
          <w:tab/>
        </w:r>
        <w:r w:rsidR="00E73837" w:rsidRPr="00E73837">
          <w:rPr>
            <w:rStyle w:val="Hyperlink"/>
            <w:rFonts w:asciiTheme="minorHAnsi" w:hAnsiTheme="minorHAnsi" w:cs="Arial"/>
            <w:noProof/>
            <w:szCs w:val="22"/>
            <w:lang w:val="en-AU"/>
          </w:rPr>
          <w:t>List of 22 aromatic amines and their safe limits</w:t>
        </w:r>
        <w:r w:rsidR="00E73837" w:rsidRPr="00E73837">
          <w:rPr>
            <w:rFonts w:asciiTheme="minorHAnsi" w:hAnsiTheme="minorHAnsi"/>
            <w:noProof/>
            <w:webHidden/>
            <w:szCs w:val="22"/>
          </w:rPr>
          <w:tab/>
        </w:r>
        <w:r w:rsidR="00E73837" w:rsidRPr="00E73837">
          <w:rPr>
            <w:rFonts w:asciiTheme="minorHAnsi" w:hAnsiTheme="minorHAnsi"/>
            <w:noProof/>
            <w:webHidden/>
            <w:szCs w:val="22"/>
          </w:rPr>
          <w:fldChar w:fldCharType="begin"/>
        </w:r>
        <w:r w:rsidR="00E73837" w:rsidRPr="00E73837">
          <w:rPr>
            <w:rFonts w:asciiTheme="minorHAnsi" w:hAnsiTheme="minorHAnsi"/>
            <w:noProof/>
            <w:webHidden/>
            <w:szCs w:val="22"/>
          </w:rPr>
          <w:instrText xml:space="preserve"> PAGEREF _Toc412196655 \h </w:instrText>
        </w:r>
        <w:r w:rsidR="00E73837" w:rsidRPr="00E73837">
          <w:rPr>
            <w:rFonts w:asciiTheme="minorHAnsi" w:hAnsiTheme="minorHAnsi"/>
            <w:noProof/>
            <w:webHidden/>
            <w:szCs w:val="22"/>
          </w:rPr>
        </w:r>
        <w:r w:rsidR="00E73837" w:rsidRPr="00E73837">
          <w:rPr>
            <w:rFonts w:asciiTheme="minorHAnsi" w:hAnsiTheme="minorHAnsi"/>
            <w:noProof/>
            <w:webHidden/>
            <w:szCs w:val="22"/>
          </w:rPr>
          <w:fldChar w:fldCharType="separate"/>
        </w:r>
        <w:r w:rsidR="00E73837" w:rsidRPr="00E73837">
          <w:rPr>
            <w:rFonts w:asciiTheme="minorHAnsi" w:hAnsiTheme="minorHAnsi"/>
            <w:noProof/>
            <w:webHidden/>
            <w:szCs w:val="22"/>
          </w:rPr>
          <w:t>- 55 -</w:t>
        </w:r>
        <w:r w:rsidR="00E73837" w:rsidRPr="00E73837">
          <w:rPr>
            <w:rFonts w:asciiTheme="minorHAnsi" w:hAnsiTheme="minorHAnsi"/>
            <w:noProof/>
            <w:webHidden/>
            <w:szCs w:val="22"/>
          </w:rPr>
          <w:fldChar w:fldCharType="end"/>
        </w:r>
      </w:hyperlink>
    </w:p>
    <w:p w:rsidR="00AC56F7" w:rsidRPr="00D15C44" w:rsidRDefault="00AC56F7" w:rsidP="00AC56F7">
      <w:pPr>
        <w:rPr>
          <w:rFonts w:ascii="Arial" w:hAnsi="Arial" w:cs="Arial"/>
        </w:rPr>
      </w:pPr>
      <w:r w:rsidRPr="00E73837">
        <w:rPr>
          <w:rFonts w:asciiTheme="minorHAnsi" w:hAnsiTheme="minorHAnsi" w:cs="Arial"/>
        </w:rPr>
        <w:fldChar w:fldCharType="end"/>
      </w:r>
    </w:p>
    <w:p w:rsidR="00AC56F7" w:rsidRPr="00D15C44" w:rsidRDefault="00AC56F7" w:rsidP="00AC56F7">
      <w:pPr>
        <w:rPr>
          <w:rFonts w:ascii="Arial" w:hAnsi="Arial" w:cs="Arial"/>
        </w:rPr>
      </w:pPr>
    </w:p>
    <w:p w:rsidR="003A075A" w:rsidRPr="00690F06" w:rsidRDefault="003A075A" w:rsidP="00AC56F7">
      <w:pPr>
        <w:rPr>
          <w:rFonts w:ascii="Arial" w:hAnsi="Arial" w:cs="Arial"/>
        </w:rPr>
      </w:pPr>
    </w:p>
    <w:p w:rsidR="003A075A" w:rsidRPr="00690F06" w:rsidRDefault="003A075A" w:rsidP="00AC56F7">
      <w:pPr>
        <w:rPr>
          <w:rFonts w:ascii="Arial" w:hAnsi="Arial" w:cs="Arial"/>
        </w:rPr>
      </w:pPr>
    </w:p>
    <w:p w:rsidR="003A075A" w:rsidRPr="00690F06" w:rsidRDefault="003A075A" w:rsidP="00AC56F7">
      <w:pPr>
        <w:rPr>
          <w:rFonts w:ascii="Arial" w:hAnsi="Arial" w:cs="Arial"/>
        </w:rPr>
      </w:pPr>
    </w:p>
    <w:p w:rsidR="003A075A" w:rsidRPr="00690F06" w:rsidRDefault="003A075A" w:rsidP="00AC56F7">
      <w:pPr>
        <w:rPr>
          <w:rFonts w:ascii="Arial" w:hAnsi="Arial" w:cs="Arial"/>
        </w:rPr>
      </w:pPr>
    </w:p>
    <w:p w:rsidR="003A075A" w:rsidRPr="00690F06" w:rsidRDefault="003A075A" w:rsidP="00AC56F7">
      <w:pPr>
        <w:rPr>
          <w:rFonts w:ascii="Arial" w:hAnsi="Arial" w:cs="Arial"/>
        </w:rPr>
      </w:pPr>
    </w:p>
    <w:p w:rsidR="00690F06" w:rsidRDefault="00690F06" w:rsidP="00AC56F7">
      <w:pPr>
        <w:rPr>
          <w:rFonts w:ascii="Arial" w:hAnsi="Arial" w:cs="Arial"/>
        </w:rPr>
      </w:pPr>
    </w:p>
    <w:p w:rsidR="00690F06" w:rsidRDefault="00690F06" w:rsidP="00AC56F7">
      <w:pPr>
        <w:rPr>
          <w:rFonts w:ascii="Arial" w:hAnsi="Arial" w:cs="Arial"/>
        </w:rPr>
      </w:pPr>
    </w:p>
    <w:p w:rsidR="00690F06" w:rsidRPr="00690F06" w:rsidRDefault="00690F06" w:rsidP="00AC56F7">
      <w:pPr>
        <w:rPr>
          <w:rFonts w:ascii="Arial" w:hAnsi="Arial" w:cs="Arial"/>
        </w:rPr>
      </w:pPr>
    </w:p>
    <w:p w:rsidR="00AC56F7" w:rsidRPr="00690F06" w:rsidRDefault="00AC56F7" w:rsidP="00AC56F7">
      <w:pPr>
        <w:rPr>
          <w:rFonts w:ascii="Arial" w:hAnsi="Arial" w:cs="Arial"/>
        </w:rPr>
      </w:pPr>
    </w:p>
    <w:p w:rsidR="00AC56F7" w:rsidRPr="00E039B9" w:rsidRDefault="00AC56F7" w:rsidP="00AC56F7">
      <w:pPr>
        <w:rPr>
          <w:rFonts w:asciiTheme="minorHAnsi" w:hAnsiTheme="minorHAnsi" w:cs="Arial"/>
        </w:rPr>
      </w:pPr>
      <w:r w:rsidRPr="00E039B9">
        <w:rPr>
          <w:rFonts w:asciiTheme="minorHAnsi" w:hAnsiTheme="minorHAnsi" w:cs="Arial"/>
          <w:bCs/>
        </w:rPr>
        <w:t>This material may be faithfully reproduced or forwarded to any other interested parties or referenced on public websites, provided the Australian Competition and Consumer Commission is acknowledged as the source of the material and directions to access the full document are provided.</w:t>
      </w:r>
      <w:r w:rsidR="00823E13" w:rsidRPr="00E039B9">
        <w:rPr>
          <w:rFonts w:asciiTheme="minorHAnsi" w:hAnsiTheme="minorHAnsi" w:cs="Arial"/>
        </w:rPr>
        <w:t xml:space="preserve"> </w:t>
      </w:r>
      <w:r w:rsidR="00823E13" w:rsidRPr="00E039B9">
        <w:rPr>
          <w:rFonts w:asciiTheme="minorHAnsi" w:hAnsiTheme="minorHAnsi" w:cs="Arial"/>
          <w:bCs/>
        </w:rPr>
        <w:t>For more information, contact the Director Publishing, Australian Competition and Consumer Commission, GPO Box</w:t>
      </w:r>
      <w:r w:rsidR="00104A48" w:rsidRPr="00E039B9">
        <w:rPr>
          <w:rFonts w:asciiTheme="minorHAnsi" w:hAnsiTheme="minorHAnsi" w:cs="Arial"/>
          <w:bCs/>
        </w:rPr>
        <w:t> </w:t>
      </w:r>
      <w:r w:rsidR="00823E13" w:rsidRPr="00E039B9">
        <w:rPr>
          <w:rFonts w:asciiTheme="minorHAnsi" w:hAnsiTheme="minorHAnsi" w:cs="Arial"/>
          <w:bCs/>
        </w:rPr>
        <w:t>3131, Canberra ACT</w:t>
      </w:r>
      <w:r w:rsidR="00104A48" w:rsidRPr="00E039B9">
        <w:rPr>
          <w:rFonts w:asciiTheme="minorHAnsi" w:hAnsiTheme="minorHAnsi" w:cs="Arial"/>
          <w:bCs/>
        </w:rPr>
        <w:t> </w:t>
      </w:r>
      <w:r w:rsidR="00823E13" w:rsidRPr="00E039B9">
        <w:rPr>
          <w:rFonts w:asciiTheme="minorHAnsi" w:hAnsiTheme="minorHAnsi" w:cs="Arial"/>
          <w:bCs/>
        </w:rPr>
        <w:t>2601.</w:t>
      </w:r>
    </w:p>
    <w:p w:rsidR="00AC56F7" w:rsidRPr="00E039B9" w:rsidRDefault="00AC56F7" w:rsidP="00AC56F7">
      <w:pPr>
        <w:rPr>
          <w:rFonts w:asciiTheme="minorHAnsi" w:hAnsiTheme="minorHAnsi"/>
          <w:b/>
          <w:sz w:val="20"/>
        </w:rPr>
        <w:sectPr w:rsidR="00AC56F7" w:rsidRPr="00E039B9" w:rsidSect="00AC56F7">
          <w:pgSz w:w="11909" w:h="16834" w:code="9"/>
          <w:pgMar w:top="1440" w:right="1440" w:bottom="1440" w:left="1440" w:header="794" w:footer="1440" w:gutter="0"/>
          <w:pgNumType w:fmt="numberInDash"/>
          <w:cols w:space="720"/>
          <w:titlePg/>
          <w:docGrid w:linePitch="326"/>
        </w:sectPr>
      </w:pPr>
    </w:p>
    <w:p w:rsidR="00AC56F7" w:rsidRPr="00057880" w:rsidRDefault="0012349A" w:rsidP="002C39E8">
      <w:pPr>
        <w:pStyle w:val="Heading1"/>
        <w:numPr>
          <w:ilvl w:val="0"/>
          <w:numId w:val="18"/>
        </w:numPr>
        <w:spacing w:after="240"/>
        <w:ind w:left="357" w:hanging="357"/>
        <w:rPr>
          <w:rFonts w:ascii="Lucida Fax" w:hAnsi="Lucida Fax"/>
          <w:lang w:val="en-AU"/>
        </w:rPr>
      </w:pPr>
      <w:bookmarkStart w:id="1" w:name="_Toc412196631"/>
      <w:r w:rsidRPr="00057880">
        <w:rPr>
          <w:rFonts w:ascii="Lucida Fax" w:hAnsi="Lucida Fax"/>
          <w:lang w:val="en-AU"/>
        </w:rPr>
        <w:lastRenderedPageBreak/>
        <w:t>Introduction</w:t>
      </w:r>
      <w:bookmarkEnd w:id="1"/>
    </w:p>
    <w:p w:rsidR="00EF1EA3" w:rsidRPr="00690F06" w:rsidRDefault="00EF1EA3" w:rsidP="00EF1EA3">
      <w:pPr>
        <w:spacing w:after="240"/>
        <w:rPr>
          <w:rFonts w:ascii="Arial" w:hAnsi="Arial" w:cs="Arial"/>
        </w:rPr>
      </w:pPr>
      <w:r w:rsidRPr="00690F06">
        <w:rPr>
          <w:rFonts w:ascii="Arial" w:hAnsi="Arial" w:cs="Arial"/>
        </w:rPr>
        <w:t>This draft Regulation Impact Statement (RIS) has been prepared by the Australian Competition and Consumer Commission (ACCC). The RIS should assist stakeholders consider possible options available to manage the potential hazards associated with consumer exposure to chemicals in clothing, textiles and leather goods that are in direct and prolonged contact with the skin (</w:t>
      </w:r>
      <w:r w:rsidRPr="00690F06">
        <w:rPr>
          <w:rFonts w:ascii="Arial" w:hAnsi="Arial" w:cs="Arial"/>
          <w:b/>
        </w:rPr>
        <w:t xml:space="preserve">referred to </w:t>
      </w:r>
      <w:r w:rsidR="00FB4150">
        <w:rPr>
          <w:rFonts w:ascii="Arial" w:hAnsi="Arial" w:cs="Arial"/>
          <w:b/>
        </w:rPr>
        <w:t xml:space="preserve">in the remainder of this RIS </w:t>
      </w:r>
      <w:r w:rsidRPr="00690F06">
        <w:rPr>
          <w:rFonts w:ascii="Arial" w:hAnsi="Arial" w:cs="Arial"/>
          <w:b/>
        </w:rPr>
        <w:t xml:space="preserve">as </w:t>
      </w:r>
      <w:r w:rsidR="00FB4150">
        <w:rPr>
          <w:rFonts w:ascii="Arial" w:hAnsi="Arial" w:cs="Arial"/>
          <w:b/>
        </w:rPr>
        <w:t>‘</w:t>
      </w:r>
      <w:r w:rsidRPr="00690F06">
        <w:rPr>
          <w:rFonts w:ascii="Arial" w:hAnsi="Arial" w:cs="Arial"/>
          <w:b/>
        </w:rPr>
        <w:t>direct and prolonged contact articles</w:t>
      </w:r>
      <w:r w:rsidR="00FB4150">
        <w:rPr>
          <w:rFonts w:ascii="Arial" w:hAnsi="Arial" w:cs="Arial"/>
          <w:b/>
        </w:rPr>
        <w:t>’</w:t>
      </w:r>
      <w:r w:rsidRPr="00690F06">
        <w:rPr>
          <w:rFonts w:ascii="Arial" w:hAnsi="Arial" w:cs="Arial"/>
        </w:rPr>
        <w:t xml:space="preserve">). </w:t>
      </w:r>
    </w:p>
    <w:p w:rsidR="00EF1EA3" w:rsidRPr="00690F06" w:rsidRDefault="00EF1EA3" w:rsidP="00EF1EA3">
      <w:pPr>
        <w:spacing w:after="240"/>
        <w:rPr>
          <w:rFonts w:ascii="Arial" w:hAnsi="Arial" w:cs="Arial"/>
          <w:color w:val="000000"/>
        </w:rPr>
      </w:pPr>
      <w:r w:rsidRPr="00690F06">
        <w:rPr>
          <w:rFonts w:ascii="Arial" w:hAnsi="Arial" w:cs="Arial"/>
        </w:rPr>
        <w:t xml:space="preserve">Every policy proposal designed to introduce or abolish regulation must now be accompanied by an Australian Government RIS. </w:t>
      </w:r>
      <w:r w:rsidRPr="00B7209D">
        <w:rPr>
          <w:rFonts w:ascii="Arial" w:hAnsi="Arial" w:cs="Arial"/>
          <w:i/>
        </w:rPr>
        <w:t>The Australian Government Guide to Regulation</w:t>
      </w:r>
      <w:r w:rsidRPr="00690F06">
        <w:rPr>
          <w:rStyle w:val="FootnoteReference"/>
          <w:rFonts w:ascii="Arial" w:hAnsi="Arial" w:cs="Arial"/>
        </w:rPr>
        <w:footnoteReference w:id="1"/>
      </w:r>
      <w:r w:rsidRPr="00690F06">
        <w:rPr>
          <w:rFonts w:ascii="Arial" w:hAnsi="Arial" w:cs="Arial"/>
        </w:rPr>
        <w:t xml:space="preserve"> sets out the process for developing a RIS. The RIS process provides for careful, </w:t>
      </w:r>
      <w:r w:rsidRPr="00690F06">
        <w:rPr>
          <w:rFonts w:ascii="Arial" w:hAnsi="Arial" w:cs="Arial"/>
          <w:color w:val="000000"/>
        </w:rPr>
        <w:t>transparent and accountable</w:t>
      </w:r>
      <w:r w:rsidRPr="00690F06">
        <w:rPr>
          <w:rFonts w:ascii="Arial" w:hAnsi="Arial" w:cs="Arial"/>
        </w:rPr>
        <w:t xml:space="preserve"> assessment of every policy option, </w:t>
      </w:r>
      <w:r w:rsidRPr="00690F06">
        <w:rPr>
          <w:rFonts w:ascii="Arial" w:hAnsi="Arial" w:cs="Arial"/>
          <w:color w:val="000000"/>
        </w:rPr>
        <w:t>their likely impacts and any associated costs.</w:t>
      </w:r>
      <w:r w:rsidRPr="00690F06">
        <w:rPr>
          <w:rStyle w:val="FootnoteReference"/>
          <w:rFonts w:ascii="Arial" w:hAnsi="Arial" w:cs="Arial"/>
          <w:color w:val="000000"/>
        </w:rPr>
        <w:footnoteReference w:id="2"/>
      </w:r>
      <w:r w:rsidRPr="00690F06">
        <w:rPr>
          <w:rFonts w:ascii="Arial" w:hAnsi="Arial" w:cs="Arial"/>
          <w:color w:val="000000"/>
        </w:rPr>
        <w:t xml:space="preserve"> In considering the policy options it is important to note that regulation cannot eliminate risk entirely and the RIS process can provide advice to governments about levels of risk, consequences and how much it will cost the community to reduce that risk.</w:t>
      </w:r>
      <w:r w:rsidRPr="00690F06">
        <w:rPr>
          <w:rStyle w:val="FootnoteReference"/>
          <w:rFonts w:ascii="Arial" w:hAnsi="Arial" w:cs="Arial"/>
          <w:color w:val="000000"/>
        </w:rPr>
        <w:footnoteReference w:id="3"/>
      </w:r>
      <w:r w:rsidRPr="00690F06">
        <w:rPr>
          <w:rFonts w:ascii="Arial" w:hAnsi="Arial" w:cs="Arial"/>
          <w:color w:val="000000"/>
        </w:rPr>
        <w:t xml:space="preserve"> T</w:t>
      </w:r>
      <w:r w:rsidRPr="00690F06">
        <w:rPr>
          <w:rFonts w:ascii="Arial" w:hAnsi="Arial" w:cs="Arial"/>
        </w:rPr>
        <w:t>he Office of Best Practice Regulation (OBPR) is required to assess and determine if the RIS complies with government requirements. A copy of this draft RIS has been provided to OBPR for ‘Early Assessment’. Early Assessment of a RIS by OBPR is one of the key steps in developing a final RIS.</w:t>
      </w:r>
      <w:r w:rsidRPr="00690F06">
        <w:rPr>
          <w:rStyle w:val="FootnoteReference"/>
          <w:rFonts w:ascii="Arial" w:hAnsi="Arial" w:cs="Arial"/>
        </w:rPr>
        <w:footnoteReference w:id="4"/>
      </w:r>
    </w:p>
    <w:p w:rsidR="007E5EEB" w:rsidRDefault="00EF1EA3" w:rsidP="00EF1EA3">
      <w:pPr>
        <w:spacing w:after="240"/>
        <w:rPr>
          <w:rFonts w:ascii="Arial" w:hAnsi="Arial" w:cs="Arial"/>
        </w:rPr>
      </w:pPr>
      <w:r w:rsidRPr="00690F06">
        <w:rPr>
          <w:rFonts w:ascii="Arial" w:hAnsi="Arial" w:cs="Arial"/>
        </w:rPr>
        <w:t>The ACCC’s recent work on hazardous</w:t>
      </w:r>
      <w:r w:rsidR="00345D16">
        <w:rPr>
          <w:rFonts w:ascii="Arial" w:hAnsi="Arial" w:cs="Arial"/>
        </w:rPr>
        <w:t xml:space="preserve"> azo</w:t>
      </w:r>
      <w:r w:rsidRPr="00690F06">
        <w:rPr>
          <w:rFonts w:ascii="Arial" w:hAnsi="Arial" w:cs="Arial"/>
        </w:rPr>
        <w:t xml:space="preserve"> dyes in consumer goods was prompted by a recommendation from the National Industrial Chemicals Notification and Assessment Scheme (NICNAS). Following publication of the NICNAS human health assessment on benzidine-based dyes, the ACCC conducted a survey and commissioned testing of direct and prolonged contact articles. While the majority of articles tested did not raise safety concerns, a number of articles were found to have unacceptable concentrations of </w:t>
      </w:r>
      <w:r w:rsidR="003C6013">
        <w:rPr>
          <w:rFonts w:ascii="Arial" w:hAnsi="Arial" w:cs="Arial"/>
        </w:rPr>
        <w:t xml:space="preserve">certain </w:t>
      </w:r>
      <w:r w:rsidR="00717986">
        <w:rPr>
          <w:rFonts w:ascii="Arial" w:hAnsi="Arial" w:cs="Arial"/>
        </w:rPr>
        <w:t>aromatic amines</w:t>
      </w:r>
      <w:r w:rsidR="00597A21">
        <w:rPr>
          <w:rFonts w:ascii="Arial" w:hAnsi="Arial" w:cs="Arial"/>
        </w:rPr>
        <w:t xml:space="preserve"> (including benzidine)</w:t>
      </w:r>
      <w:r w:rsidR="00717986">
        <w:rPr>
          <w:rFonts w:ascii="Arial" w:hAnsi="Arial" w:cs="Arial"/>
        </w:rPr>
        <w:t xml:space="preserve">, which are </w:t>
      </w:r>
      <w:r w:rsidRPr="00690F06">
        <w:rPr>
          <w:rFonts w:ascii="Arial" w:hAnsi="Arial" w:cs="Arial"/>
        </w:rPr>
        <w:t xml:space="preserve">carcinogenic chemicals derived from </w:t>
      </w:r>
      <w:r w:rsidR="003C6013">
        <w:rPr>
          <w:rFonts w:ascii="Arial" w:hAnsi="Arial" w:cs="Arial"/>
        </w:rPr>
        <w:t xml:space="preserve">a small number of </w:t>
      </w:r>
      <w:r w:rsidRPr="00690F06">
        <w:rPr>
          <w:rFonts w:ascii="Arial" w:hAnsi="Arial" w:cs="Arial"/>
        </w:rPr>
        <w:t>hazardous azo dyes.</w:t>
      </w:r>
      <w:r w:rsidR="003C6013">
        <w:rPr>
          <w:rFonts w:ascii="Arial" w:hAnsi="Arial" w:cs="Arial"/>
        </w:rPr>
        <w:t xml:space="preserve"> </w:t>
      </w:r>
      <w:r w:rsidRPr="00690F06">
        <w:rPr>
          <w:rFonts w:ascii="Arial" w:hAnsi="Arial" w:cs="Arial"/>
        </w:rPr>
        <w:t xml:space="preserve">Both the NICNAS recommendation and details of the ACCC survey are discussed in more detail in this draft RIS. </w:t>
      </w:r>
    </w:p>
    <w:p w:rsidR="007E5EEB" w:rsidRDefault="003C6013" w:rsidP="00EF1EA3">
      <w:pPr>
        <w:spacing w:after="240"/>
        <w:rPr>
          <w:rFonts w:ascii="Arial" w:hAnsi="Arial" w:cs="Arial"/>
        </w:rPr>
      </w:pPr>
      <w:r>
        <w:rPr>
          <w:rFonts w:ascii="Arial" w:hAnsi="Arial" w:cs="Arial"/>
        </w:rPr>
        <w:t xml:space="preserve">Azo dyes are </w:t>
      </w:r>
      <w:r w:rsidR="007E5EEB">
        <w:rPr>
          <w:rFonts w:ascii="Arial" w:hAnsi="Arial" w:cs="Arial"/>
        </w:rPr>
        <w:t xml:space="preserve">a large class of effective </w:t>
      </w:r>
      <w:r>
        <w:rPr>
          <w:rFonts w:ascii="Arial" w:hAnsi="Arial" w:cs="Arial"/>
        </w:rPr>
        <w:t>colorants used in a variety of consumer goods</w:t>
      </w:r>
      <w:r w:rsidR="009F7483">
        <w:rPr>
          <w:rFonts w:ascii="Arial" w:hAnsi="Arial" w:cs="Arial"/>
        </w:rPr>
        <w:t xml:space="preserve"> including </w:t>
      </w:r>
      <w:r w:rsidR="005154CA">
        <w:rPr>
          <w:rFonts w:ascii="Arial" w:hAnsi="Arial" w:cs="Arial"/>
        </w:rPr>
        <w:t>direct and prolonged contact articles</w:t>
      </w:r>
      <w:r>
        <w:rPr>
          <w:rFonts w:ascii="Arial" w:hAnsi="Arial" w:cs="Arial"/>
        </w:rPr>
        <w:t xml:space="preserve">. </w:t>
      </w:r>
      <w:r w:rsidR="009F7483">
        <w:rPr>
          <w:rFonts w:ascii="Arial" w:hAnsi="Arial" w:cs="Arial"/>
        </w:rPr>
        <w:t xml:space="preserve">The majority of azo dyes do not break down to hazardous aromatic amines and are not associated with the problem outlined below. The small </w:t>
      </w:r>
      <w:proofErr w:type="gramStart"/>
      <w:r w:rsidR="009F7483">
        <w:rPr>
          <w:rFonts w:ascii="Arial" w:hAnsi="Arial" w:cs="Arial"/>
        </w:rPr>
        <w:t>number</w:t>
      </w:r>
      <w:proofErr w:type="gramEnd"/>
      <w:r w:rsidR="009F7483">
        <w:rPr>
          <w:rFonts w:ascii="Arial" w:hAnsi="Arial" w:cs="Arial"/>
        </w:rPr>
        <w:t xml:space="preserve"> </w:t>
      </w:r>
      <w:r w:rsidR="003F7619">
        <w:rPr>
          <w:rFonts w:ascii="Arial" w:hAnsi="Arial" w:cs="Arial"/>
        </w:rPr>
        <w:t>that</w:t>
      </w:r>
      <w:r w:rsidR="009F7483">
        <w:rPr>
          <w:rFonts w:ascii="Arial" w:hAnsi="Arial" w:cs="Arial"/>
        </w:rPr>
        <w:t xml:space="preserve"> do </w:t>
      </w:r>
      <w:r w:rsidR="00345D16">
        <w:rPr>
          <w:rFonts w:ascii="Arial" w:hAnsi="Arial" w:cs="Arial"/>
        </w:rPr>
        <w:t xml:space="preserve">break down </w:t>
      </w:r>
      <w:r w:rsidR="009F7483">
        <w:rPr>
          <w:rFonts w:ascii="Arial" w:hAnsi="Arial" w:cs="Arial"/>
        </w:rPr>
        <w:t>are referred to in this draft RIS as ‘hazardous azo dyes’.</w:t>
      </w:r>
      <w:r w:rsidR="00597A21">
        <w:rPr>
          <w:rFonts w:ascii="Arial" w:hAnsi="Arial" w:cs="Arial"/>
        </w:rPr>
        <w:t xml:space="preserve"> </w:t>
      </w:r>
      <w:r w:rsidR="007E5EEB" w:rsidRPr="00690F06">
        <w:rPr>
          <w:rFonts w:ascii="Arial" w:hAnsi="Arial" w:cs="Arial"/>
        </w:rPr>
        <w:t>The risk of exposure depends on factors such as the concentration and type of dye, the type of material, the size of surface contact area and duration it is in direct contact with the skin. Body heat, sweat or saliva exacerbates exposure.</w:t>
      </w:r>
    </w:p>
    <w:p w:rsidR="000F6FE9" w:rsidRDefault="000F6FE9" w:rsidP="000F6FE9">
      <w:pPr>
        <w:spacing w:after="240"/>
        <w:rPr>
          <w:rFonts w:ascii="Arial" w:hAnsi="Arial" w:cs="Arial"/>
        </w:rPr>
      </w:pPr>
      <w:r>
        <w:rPr>
          <w:rFonts w:ascii="Arial" w:hAnsi="Arial" w:cs="Arial"/>
        </w:rPr>
        <w:t>While</w:t>
      </w:r>
      <w:r w:rsidRPr="00690F06">
        <w:rPr>
          <w:rFonts w:ascii="Arial" w:hAnsi="Arial" w:cs="Arial"/>
        </w:rPr>
        <w:t xml:space="preserve"> exposure to a carcinogen does not mean cancer will necessarily result, </w:t>
      </w:r>
      <w:r w:rsidR="00345D16" w:rsidRPr="00690F06">
        <w:rPr>
          <w:rFonts w:ascii="Arial" w:hAnsi="Arial" w:cs="Arial"/>
        </w:rPr>
        <w:t>avoidable exposure</w:t>
      </w:r>
      <w:r w:rsidRPr="00690F06">
        <w:rPr>
          <w:rFonts w:ascii="Arial" w:hAnsi="Arial" w:cs="Arial"/>
        </w:rPr>
        <w:t xml:space="preserve"> should be minimised as the personal, community and medical costs of any avoi</w:t>
      </w:r>
      <w:r>
        <w:rPr>
          <w:rFonts w:ascii="Arial" w:hAnsi="Arial" w:cs="Arial"/>
        </w:rPr>
        <w:t xml:space="preserve">dable case of cancer </w:t>
      </w:r>
      <w:r w:rsidR="00FD0036">
        <w:rPr>
          <w:rFonts w:ascii="Arial" w:hAnsi="Arial" w:cs="Arial"/>
        </w:rPr>
        <w:t>is</w:t>
      </w:r>
      <w:r>
        <w:rPr>
          <w:rFonts w:ascii="Arial" w:hAnsi="Arial" w:cs="Arial"/>
        </w:rPr>
        <w:t xml:space="preserve"> high.</w:t>
      </w:r>
      <w:r w:rsidR="006E39C4">
        <w:rPr>
          <w:rFonts w:ascii="Arial" w:hAnsi="Arial" w:cs="Arial"/>
        </w:rPr>
        <w:t xml:space="preserve"> </w:t>
      </w:r>
      <w:r w:rsidR="00345D16">
        <w:rPr>
          <w:rFonts w:ascii="Arial" w:hAnsi="Arial" w:cs="Arial"/>
        </w:rPr>
        <w:t>A</w:t>
      </w:r>
      <w:r w:rsidR="006E39C4">
        <w:rPr>
          <w:rFonts w:ascii="Arial" w:hAnsi="Arial" w:cs="Arial"/>
        </w:rPr>
        <w:t>ll reasonable efforts to prevent avoidable exposure should be pursued.</w:t>
      </w:r>
      <w:r>
        <w:rPr>
          <w:rFonts w:ascii="Arial" w:hAnsi="Arial" w:cs="Arial"/>
        </w:rPr>
        <w:t xml:space="preserve"> </w:t>
      </w:r>
      <w:r w:rsidRPr="00690F06">
        <w:rPr>
          <w:rFonts w:ascii="Arial" w:hAnsi="Arial" w:cs="Arial"/>
        </w:rPr>
        <w:t>This draft RIS contains discussion on the risks and costs of cancer</w:t>
      </w:r>
      <w:r w:rsidR="00FD0036">
        <w:rPr>
          <w:rFonts w:ascii="Arial" w:hAnsi="Arial" w:cs="Arial"/>
        </w:rPr>
        <w:t>.</w:t>
      </w:r>
    </w:p>
    <w:p w:rsidR="00597A21" w:rsidRDefault="000F6FE9" w:rsidP="000F6FE9">
      <w:pPr>
        <w:spacing w:after="240"/>
        <w:rPr>
          <w:rFonts w:ascii="Arial" w:hAnsi="Arial" w:cs="Arial"/>
        </w:rPr>
      </w:pPr>
      <w:r w:rsidRPr="00690F06">
        <w:rPr>
          <w:rFonts w:ascii="Arial" w:hAnsi="Arial" w:cs="Arial"/>
        </w:rPr>
        <w:t xml:space="preserve">Globally there are a range of controls applied by different countries to address exposure to hazardous azo dyes. </w:t>
      </w:r>
      <w:r w:rsidR="00597A21">
        <w:rPr>
          <w:rFonts w:ascii="Arial" w:hAnsi="Arial" w:cs="Arial"/>
        </w:rPr>
        <w:t>These controls are discussed</w:t>
      </w:r>
      <w:r w:rsidR="00194827">
        <w:rPr>
          <w:rFonts w:ascii="Arial" w:hAnsi="Arial" w:cs="Arial"/>
        </w:rPr>
        <w:t xml:space="preserve"> in ‘the problem’ section and </w:t>
      </w:r>
      <w:r w:rsidR="00276013">
        <w:rPr>
          <w:rFonts w:ascii="Arial" w:hAnsi="Arial" w:cs="Arial"/>
        </w:rPr>
        <w:t>Attachment </w:t>
      </w:r>
      <w:r w:rsidR="00194827">
        <w:rPr>
          <w:rFonts w:ascii="Arial" w:hAnsi="Arial" w:cs="Arial"/>
        </w:rPr>
        <w:t>7</w:t>
      </w:r>
      <w:r w:rsidR="00FD0036">
        <w:rPr>
          <w:rFonts w:ascii="Arial" w:hAnsi="Arial" w:cs="Arial"/>
        </w:rPr>
        <w:t xml:space="preserve"> of this draft RIS</w:t>
      </w:r>
      <w:r w:rsidR="00194827">
        <w:rPr>
          <w:rFonts w:ascii="Arial" w:hAnsi="Arial" w:cs="Arial"/>
        </w:rPr>
        <w:t>.</w:t>
      </w:r>
    </w:p>
    <w:p w:rsidR="00BE3FA4" w:rsidRDefault="00BE3FA4" w:rsidP="000F6FE9">
      <w:pPr>
        <w:spacing w:after="240"/>
        <w:rPr>
          <w:rFonts w:ascii="Arial" w:hAnsi="Arial" w:cs="Arial"/>
        </w:rPr>
      </w:pPr>
      <w:r w:rsidRPr="00BE3FA4">
        <w:rPr>
          <w:rFonts w:ascii="Arial" w:hAnsi="Arial" w:cs="Arial"/>
        </w:rPr>
        <w:lastRenderedPageBreak/>
        <w:t>In June 2014, Australian suppliers of clothing textiles and leather articles were asked to provide estimates of additional costs they would incur for both the regulatory and non-regulatory options</w:t>
      </w:r>
      <w:r w:rsidR="00597A21">
        <w:rPr>
          <w:rFonts w:ascii="Arial" w:hAnsi="Arial" w:cs="Arial"/>
        </w:rPr>
        <w:t xml:space="preserve"> under consideration at the time</w:t>
      </w:r>
      <w:r w:rsidRPr="00BE3FA4">
        <w:rPr>
          <w:rFonts w:ascii="Arial" w:hAnsi="Arial" w:cs="Arial"/>
        </w:rPr>
        <w:t>. Some</w:t>
      </w:r>
      <w:r w:rsidR="00FD0036">
        <w:rPr>
          <w:rFonts w:ascii="Arial" w:hAnsi="Arial" w:cs="Arial"/>
        </w:rPr>
        <w:t xml:space="preserve"> suppliers</w:t>
      </w:r>
      <w:r w:rsidRPr="00BE3FA4">
        <w:rPr>
          <w:rFonts w:ascii="Arial" w:hAnsi="Arial" w:cs="Arial"/>
        </w:rPr>
        <w:t xml:space="preserve"> provided </w:t>
      </w:r>
      <w:r w:rsidR="00FD0036">
        <w:rPr>
          <w:rFonts w:ascii="Arial" w:hAnsi="Arial" w:cs="Arial"/>
        </w:rPr>
        <w:t>confidential information</w:t>
      </w:r>
      <w:r w:rsidRPr="00BE3FA4">
        <w:rPr>
          <w:rFonts w:ascii="Arial" w:hAnsi="Arial" w:cs="Arial"/>
        </w:rPr>
        <w:t>, so individual s</w:t>
      </w:r>
      <w:r w:rsidR="00FD0036">
        <w:rPr>
          <w:rFonts w:ascii="Arial" w:hAnsi="Arial" w:cs="Arial"/>
        </w:rPr>
        <w:t>uppliers</w:t>
      </w:r>
      <w:r w:rsidRPr="00BE3FA4">
        <w:rPr>
          <w:rFonts w:ascii="Arial" w:hAnsi="Arial" w:cs="Arial"/>
        </w:rPr>
        <w:t xml:space="preserve"> have not been identified. A summary of the themes raised in submissions are included in </w:t>
      </w:r>
      <w:r w:rsidRPr="00FB5EFB">
        <w:rPr>
          <w:rFonts w:ascii="Arial" w:hAnsi="Arial" w:cs="Arial"/>
        </w:rPr>
        <w:t>Attachment 1</w:t>
      </w:r>
      <w:r w:rsidRPr="00BE3FA4">
        <w:rPr>
          <w:rFonts w:ascii="Arial" w:hAnsi="Arial" w:cs="Arial"/>
        </w:rPr>
        <w:t>. While those costs have been considered in the development of this draft RIS, the responses the ACCC received were small in number and suppliers did not provide sufficiently detailed estimates that were specifically attributed to any additional activity that might need to be undertaken in response to each option. To the extent possible, costs provided by business have been used to develop preliminary estimates of additional costs under the regulatory and non-regulatory options.</w:t>
      </w:r>
    </w:p>
    <w:p w:rsidR="00EF1EA3" w:rsidRDefault="00FB4150" w:rsidP="00EF1EA3">
      <w:pPr>
        <w:spacing w:after="240"/>
        <w:rPr>
          <w:rFonts w:ascii="Arial" w:hAnsi="Arial" w:cs="Arial"/>
          <w:color w:val="000000"/>
          <w:lang w:eastAsia="en-AU"/>
        </w:rPr>
      </w:pPr>
      <w:r>
        <w:rPr>
          <w:rFonts w:ascii="Arial" w:hAnsi="Arial" w:cs="Arial"/>
        </w:rPr>
        <w:t>Consumer</w:t>
      </w:r>
      <w:r w:rsidR="00EF1EA3">
        <w:rPr>
          <w:rFonts w:ascii="Arial" w:hAnsi="Arial" w:cs="Arial"/>
        </w:rPr>
        <w:t xml:space="preserve"> protection laws </w:t>
      </w:r>
      <w:r>
        <w:rPr>
          <w:rFonts w:ascii="Arial" w:hAnsi="Arial" w:cs="Arial"/>
        </w:rPr>
        <w:t xml:space="preserve">have for some time </w:t>
      </w:r>
      <w:r w:rsidR="00EF1EA3">
        <w:rPr>
          <w:rFonts w:ascii="Arial" w:hAnsi="Arial" w:cs="Arial"/>
        </w:rPr>
        <w:t>provide</w:t>
      </w:r>
      <w:r>
        <w:rPr>
          <w:rFonts w:ascii="Arial" w:hAnsi="Arial" w:cs="Arial"/>
        </w:rPr>
        <w:t>d</w:t>
      </w:r>
      <w:r w:rsidR="00EF1EA3">
        <w:rPr>
          <w:rFonts w:ascii="Arial" w:hAnsi="Arial" w:cs="Arial"/>
        </w:rPr>
        <w:t xml:space="preserve"> a product liability framework</w:t>
      </w:r>
      <w:r>
        <w:rPr>
          <w:rFonts w:ascii="Arial" w:hAnsi="Arial" w:cs="Arial"/>
        </w:rPr>
        <w:t xml:space="preserve"> which give</w:t>
      </w:r>
      <w:r w:rsidR="000F6FE9">
        <w:rPr>
          <w:rFonts w:ascii="Arial" w:hAnsi="Arial" w:cs="Arial"/>
        </w:rPr>
        <w:t>s</w:t>
      </w:r>
      <w:r w:rsidR="00EF1EA3">
        <w:rPr>
          <w:rFonts w:ascii="Arial" w:hAnsi="Arial" w:cs="Arial"/>
        </w:rPr>
        <w:t xml:space="preserve"> consumers</w:t>
      </w:r>
      <w:r w:rsidR="000272FC">
        <w:rPr>
          <w:rFonts w:ascii="Arial" w:hAnsi="Arial" w:cs="Arial"/>
        </w:rPr>
        <w:t xml:space="preserve"> who are</w:t>
      </w:r>
      <w:r w:rsidR="00EF1EA3">
        <w:rPr>
          <w:rFonts w:ascii="Arial" w:hAnsi="Arial" w:cs="Arial"/>
        </w:rPr>
        <w:t xml:space="preserve"> injured as a result of a defective product</w:t>
      </w:r>
      <w:r w:rsidR="000272FC">
        <w:rPr>
          <w:rFonts w:ascii="Arial" w:hAnsi="Arial" w:cs="Arial"/>
        </w:rPr>
        <w:t xml:space="preserve"> a right to compensation without the need to prove negligence on the part of the manufacturer.</w:t>
      </w:r>
      <w:r w:rsidR="00EF1EA3" w:rsidRPr="00690F06">
        <w:rPr>
          <w:rStyle w:val="FootnoteReference"/>
          <w:rFonts w:ascii="Arial" w:hAnsi="Arial" w:cs="Arial"/>
          <w:color w:val="000000"/>
          <w:lang w:eastAsia="en-AU"/>
        </w:rPr>
        <w:footnoteReference w:id="5"/>
      </w:r>
      <w:r w:rsidR="00EF1EA3">
        <w:rPr>
          <w:rFonts w:ascii="Arial" w:hAnsi="Arial" w:cs="Arial"/>
        </w:rPr>
        <w:t xml:space="preserve"> Goods are considered defective if they do not have the degree of safety which people are entitled to expect in all</w:t>
      </w:r>
      <w:r w:rsidR="00EF1EA3" w:rsidRPr="00690F06">
        <w:rPr>
          <w:rFonts w:ascii="Arial" w:hAnsi="Arial" w:cs="Arial"/>
          <w:color w:val="000000"/>
          <w:lang w:eastAsia="en-AU"/>
        </w:rPr>
        <w:t xml:space="preserve"> circumstances.</w:t>
      </w:r>
      <w:r w:rsidR="00EF1EA3" w:rsidRPr="00690F06">
        <w:rPr>
          <w:rStyle w:val="FootnoteReference"/>
          <w:rFonts w:ascii="Arial" w:hAnsi="Arial" w:cs="Arial"/>
          <w:color w:val="000000"/>
          <w:lang w:eastAsia="en-AU"/>
        </w:rPr>
        <w:footnoteReference w:id="6"/>
      </w:r>
      <w:r w:rsidR="00EF1EA3" w:rsidRPr="00690F06">
        <w:rPr>
          <w:rFonts w:ascii="Arial" w:hAnsi="Arial" w:cs="Arial"/>
          <w:color w:val="000000"/>
          <w:lang w:eastAsia="en-AU"/>
        </w:rPr>
        <w:t xml:space="preserve"> </w:t>
      </w:r>
      <w:r w:rsidR="00EF1EA3">
        <w:rPr>
          <w:rFonts w:ascii="Arial" w:hAnsi="Arial" w:cs="Arial"/>
          <w:color w:val="000000"/>
          <w:lang w:eastAsia="en-AU"/>
        </w:rPr>
        <w:t xml:space="preserve">These requirements </w:t>
      </w:r>
      <w:r>
        <w:rPr>
          <w:rFonts w:ascii="Arial" w:hAnsi="Arial" w:cs="Arial"/>
          <w:color w:val="000000"/>
          <w:lang w:eastAsia="en-AU"/>
        </w:rPr>
        <w:t>are</w:t>
      </w:r>
      <w:r w:rsidR="00EF1EA3">
        <w:rPr>
          <w:rFonts w:ascii="Arial" w:hAnsi="Arial" w:cs="Arial"/>
          <w:color w:val="000000"/>
          <w:lang w:eastAsia="en-AU"/>
        </w:rPr>
        <w:t xml:space="preserve"> known, generally, as the </w:t>
      </w:r>
      <w:r w:rsidR="00EF1EA3" w:rsidRPr="009278D5">
        <w:rPr>
          <w:rFonts w:ascii="Arial" w:hAnsi="Arial" w:cs="Arial"/>
          <w:i/>
          <w:color w:val="000000"/>
          <w:lang w:eastAsia="en-AU"/>
        </w:rPr>
        <w:t>defective goods regime</w:t>
      </w:r>
      <w:r w:rsidR="00EF1EA3">
        <w:rPr>
          <w:rFonts w:ascii="Arial" w:hAnsi="Arial" w:cs="Arial"/>
          <w:color w:val="000000"/>
          <w:lang w:eastAsia="en-AU"/>
        </w:rPr>
        <w:t>.</w:t>
      </w:r>
    </w:p>
    <w:p w:rsidR="00EF1EA3" w:rsidRPr="00690F06" w:rsidRDefault="00FD0036" w:rsidP="0086367F">
      <w:pPr>
        <w:spacing w:after="240"/>
        <w:rPr>
          <w:rFonts w:ascii="Arial" w:hAnsi="Arial" w:cs="Arial"/>
        </w:rPr>
      </w:pPr>
      <w:r>
        <w:rPr>
          <w:rFonts w:ascii="Arial" w:hAnsi="Arial" w:cs="Arial"/>
        </w:rPr>
        <w:t>The</w:t>
      </w:r>
      <w:r w:rsidR="00EF1EA3">
        <w:rPr>
          <w:rFonts w:ascii="Arial" w:hAnsi="Arial" w:cs="Arial"/>
        </w:rPr>
        <w:t xml:space="preserve"> Australian Consumer Law (ACL) took effect on </w:t>
      </w:r>
      <w:r w:rsidR="003875F5">
        <w:rPr>
          <w:rFonts w:ascii="Arial" w:hAnsi="Arial" w:cs="Arial"/>
        </w:rPr>
        <w:t>1 January </w:t>
      </w:r>
      <w:r w:rsidR="00EF1EA3">
        <w:rPr>
          <w:rFonts w:ascii="Arial" w:hAnsi="Arial" w:cs="Arial"/>
        </w:rPr>
        <w:t>2011</w:t>
      </w:r>
      <w:r>
        <w:rPr>
          <w:rFonts w:ascii="Arial" w:hAnsi="Arial" w:cs="Arial"/>
        </w:rPr>
        <w:t>. The ACL strengthened the product safety provisions to enhance consumer protection.</w:t>
      </w:r>
      <w:r w:rsidR="00EF1EA3">
        <w:rPr>
          <w:rFonts w:ascii="Arial" w:hAnsi="Arial" w:cs="Arial"/>
        </w:rPr>
        <w:t xml:space="preserve"> The ACL </w:t>
      </w:r>
      <w:r w:rsidR="00FB4150">
        <w:rPr>
          <w:rFonts w:ascii="Arial" w:hAnsi="Arial" w:cs="Arial"/>
        </w:rPr>
        <w:t xml:space="preserve">also </w:t>
      </w:r>
      <w:r w:rsidR="00EF1EA3">
        <w:rPr>
          <w:rFonts w:ascii="Arial" w:hAnsi="Arial" w:cs="Arial"/>
        </w:rPr>
        <w:t>included a number of general provisions intended to ensure that businesses supply safe goods</w:t>
      </w:r>
      <w:r w:rsidR="00FB4150">
        <w:rPr>
          <w:rFonts w:ascii="Arial" w:hAnsi="Arial" w:cs="Arial"/>
        </w:rPr>
        <w:t>; for example, s</w:t>
      </w:r>
      <w:r w:rsidR="00EF1EA3">
        <w:rPr>
          <w:rFonts w:ascii="Arial" w:hAnsi="Arial" w:cs="Arial"/>
        </w:rPr>
        <w:t xml:space="preserve">uppliers </w:t>
      </w:r>
      <w:r w:rsidR="00FB4150">
        <w:rPr>
          <w:rFonts w:ascii="Arial" w:hAnsi="Arial" w:cs="Arial"/>
        </w:rPr>
        <w:t>give</w:t>
      </w:r>
      <w:r w:rsidR="00EF1EA3">
        <w:rPr>
          <w:rFonts w:ascii="Arial" w:hAnsi="Arial" w:cs="Arial"/>
        </w:rPr>
        <w:t xml:space="preserve"> statutory guarantees to consumers that goods are of acceptable quality, including that they are safe. More information on the</w:t>
      </w:r>
      <w:r w:rsidR="00EF1EA3" w:rsidRPr="00690F06">
        <w:rPr>
          <w:rFonts w:ascii="Arial" w:hAnsi="Arial" w:cs="Arial"/>
        </w:rPr>
        <w:t xml:space="preserve"> </w:t>
      </w:r>
      <w:r w:rsidR="0086367F">
        <w:rPr>
          <w:rFonts w:ascii="Arial" w:hAnsi="Arial" w:cs="Arial"/>
        </w:rPr>
        <w:t xml:space="preserve">development of the product safety regime in </w:t>
      </w:r>
      <w:r w:rsidR="000F6FE9">
        <w:rPr>
          <w:rFonts w:ascii="Arial" w:hAnsi="Arial" w:cs="Arial"/>
        </w:rPr>
        <w:t xml:space="preserve">Australia </w:t>
      </w:r>
      <w:r w:rsidR="0086367F">
        <w:rPr>
          <w:rFonts w:ascii="Arial" w:hAnsi="Arial" w:cs="Arial"/>
        </w:rPr>
        <w:t>is</w:t>
      </w:r>
      <w:r w:rsidR="00EF1EA3" w:rsidRPr="00690F06">
        <w:rPr>
          <w:rFonts w:ascii="Arial" w:hAnsi="Arial" w:cs="Arial"/>
        </w:rPr>
        <w:t xml:space="preserve"> </w:t>
      </w:r>
      <w:r w:rsidR="00EF1EA3">
        <w:rPr>
          <w:rFonts w:ascii="Arial" w:hAnsi="Arial" w:cs="Arial"/>
        </w:rPr>
        <w:t xml:space="preserve">included in </w:t>
      </w:r>
      <w:r w:rsidR="003875F5" w:rsidRPr="00B7209D">
        <w:rPr>
          <w:rFonts w:ascii="Arial" w:hAnsi="Arial" w:cs="Arial"/>
        </w:rPr>
        <w:t>Attachment </w:t>
      </w:r>
      <w:r w:rsidR="00EF1EA3" w:rsidRPr="00B7209D">
        <w:rPr>
          <w:rFonts w:ascii="Arial" w:hAnsi="Arial" w:cs="Arial"/>
        </w:rPr>
        <w:t>2</w:t>
      </w:r>
      <w:r w:rsidR="00EF1EA3" w:rsidRPr="00690F06">
        <w:rPr>
          <w:rFonts w:ascii="Arial" w:hAnsi="Arial" w:cs="Arial"/>
        </w:rPr>
        <w:t xml:space="preserve">. </w:t>
      </w:r>
    </w:p>
    <w:p w:rsidR="004B33CF" w:rsidRDefault="004B33CF" w:rsidP="00EF1EA3">
      <w:pPr>
        <w:spacing w:after="240"/>
        <w:rPr>
          <w:rFonts w:ascii="Arial" w:hAnsi="Arial" w:cs="Arial"/>
        </w:rPr>
      </w:pPr>
      <w:r>
        <w:rPr>
          <w:rFonts w:ascii="Arial" w:hAnsi="Arial" w:cs="Arial"/>
        </w:rPr>
        <w:t xml:space="preserve">The definition of </w:t>
      </w:r>
      <w:r w:rsidR="00597A21">
        <w:rPr>
          <w:rFonts w:ascii="Arial" w:hAnsi="Arial" w:cs="Arial"/>
        </w:rPr>
        <w:t xml:space="preserve">the term </w:t>
      </w:r>
      <w:r w:rsidR="000272FC">
        <w:rPr>
          <w:rFonts w:ascii="Arial" w:hAnsi="Arial" w:cs="Arial"/>
        </w:rPr>
        <w:t>‘supplier</w:t>
      </w:r>
      <w:r w:rsidR="001313F8">
        <w:rPr>
          <w:rFonts w:ascii="Arial" w:hAnsi="Arial" w:cs="Arial"/>
        </w:rPr>
        <w:t>’</w:t>
      </w:r>
      <w:r w:rsidR="00597A21">
        <w:rPr>
          <w:rFonts w:ascii="Arial" w:hAnsi="Arial" w:cs="Arial"/>
        </w:rPr>
        <w:t>, which is</w:t>
      </w:r>
      <w:r w:rsidR="000F6FE9">
        <w:rPr>
          <w:rFonts w:ascii="Arial" w:hAnsi="Arial" w:cs="Arial"/>
        </w:rPr>
        <w:t xml:space="preserve"> used throughout</w:t>
      </w:r>
      <w:r w:rsidR="000272FC">
        <w:rPr>
          <w:rFonts w:ascii="Arial" w:hAnsi="Arial" w:cs="Arial"/>
        </w:rPr>
        <w:t xml:space="preserve"> this draft RIS </w:t>
      </w:r>
      <w:r>
        <w:rPr>
          <w:rFonts w:ascii="Arial" w:hAnsi="Arial" w:cs="Arial"/>
        </w:rPr>
        <w:t xml:space="preserve">is consistent with the definition in the </w:t>
      </w:r>
      <w:r w:rsidR="000272FC">
        <w:rPr>
          <w:rFonts w:ascii="Arial" w:hAnsi="Arial" w:cs="Arial"/>
        </w:rPr>
        <w:t>ACL</w:t>
      </w:r>
      <w:r w:rsidR="000F6FE9">
        <w:rPr>
          <w:rFonts w:ascii="Arial" w:hAnsi="Arial" w:cs="Arial"/>
        </w:rPr>
        <w:t xml:space="preserve"> that is:</w:t>
      </w:r>
      <w:r>
        <w:rPr>
          <w:rFonts w:ascii="Arial" w:hAnsi="Arial" w:cs="Arial"/>
        </w:rPr>
        <w:t xml:space="preserve"> </w:t>
      </w:r>
    </w:p>
    <w:p w:rsidR="00D723AF" w:rsidRPr="00845A9B" w:rsidRDefault="00D723AF" w:rsidP="00D723AF">
      <w:pPr>
        <w:pStyle w:val="Definition"/>
        <w:keepNext/>
      </w:pPr>
      <w:proofErr w:type="gramStart"/>
      <w:r w:rsidRPr="00845A9B">
        <w:rPr>
          <w:b/>
          <w:i/>
        </w:rPr>
        <w:t>supply</w:t>
      </w:r>
      <w:proofErr w:type="gramEnd"/>
      <w:r w:rsidRPr="00845A9B">
        <w:t>, when used as a verb, includes:</w:t>
      </w:r>
    </w:p>
    <w:p w:rsidR="00D723AF" w:rsidRPr="00845A9B" w:rsidRDefault="00D723AF" w:rsidP="00D723AF">
      <w:pPr>
        <w:pStyle w:val="paragraph"/>
      </w:pPr>
      <w:r w:rsidRPr="00845A9B">
        <w:tab/>
        <w:t>(a)</w:t>
      </w:r>
      <w:r w:rsidRPr="00845A9B">
        <w:tab/>
      </w:r>
      <w:proofErr w:type="gramStart"/>
      <w:r w:rsidRPr="00845A9B">
        <w:t>in</w:t>
      </w:r>
      <w:proofErr w:type="gramEnd"/>
      <w:r w:rsidRPr="00845A9B">
        <w:t xml:space="preserve"> relation to goods—supply (including re</w:t>
      </w:r>
      <w:r>
        <w:noBreakHyphen/>
      </w:r>
      <w:r w:rsidRPr="00845A9B">
        <w:t>supply) by way of sale, exchange, lease, hire or hire</w:t>
      </w:r>
      <w:r>
        <w:noBreakHyphen/>
      </w:r>
      <w:r w:rsidRPr="00845A9B">
        <w:t>purchase; and</w:t>
      </w:r>
    </w:p>
    <w:p w:rsidR="00D723AF" w:rsidRPr="00845A9B" w:rsidRDefault="00D723AF" w:rsidP="00D723AF">
      <w:pPr>
        <w:pStyle w:val="paragraph"/>
        <w:keepNext/>
      </w:pPr>
      <w:r w:rsidRPr="00845A9B">
        <w:tab/>
        <w:t>(b)</w:t>
      </w:r>
      <w:r w:rsidRPr="00845A9B">
        <w:tab/>
      </w:r>
      <w:proofErr w:type="gramStart"/>
      <w:r w:rsidRPr="00845A9B">
        <w:t>in</w:t>
      </w:r>
      <w:proofErr w:type="gramEnd"/>
      <w:r w:rsidRPr="00845A9B">
        <w:t xml:space="preserve"> relation to services—provide, grant or confer;</w:t>
      </w:r>
    </w:p>
    <w:p w:rsidR="00D723AF" w:rsidRPr="00845A9B" w:rsidRDefault="00D723AF" w:rsidP="00D723AF">
      <w:pPr>
        <w:pStyle w:val="subsection2"/>
      </w:pPr>
      <w:proofErr w:type="gramStart"/>
      <w:r w:rsidRPr="00845A9B">
        <w:t>and</w:t>
      </w:r>
      <w:proofErr w:type="gramEnd"/>
      <w:r w:rsidRPr="00845A9B">
        <w:t xml:space="preserve">, when used as a noun, has a corresponding meaning, and </w:t>
      </w:r>
      <w:r w:rsidRPr="00845A9B">
        <w:rPr>
          <w:b/>
          <w:i/>
        </w:rPr>
        <w:t>supplied</w:t>
      </w:r>
      <w:r w:rsidRPr="00845A9B">
        <w:t xml:space="preserve"> and </w:t>
      </w:r>
      <w:r w:rsidRPr="00845A9B">
        <w:rPr>
          <w:b/>
          <w:i/>
        </w:rPr>
        <w:t>supplier</w:t>
      </w:r>
      <w:r w:rsidRPr="00845A9B">
        <w:t xml:space="preserve"> have corresponding meanings.</w:t>
      </w:r>
    </w:p>
    <w:p w:rsidR="00F80266" w:rsidRPr="00690F06" w:rsidRDefault="00104B6E" w:rsidP="00F32631">
      <w:pPr>
        <w:keepNext/>
        <w:spacing w:before="240" w:after="240"/>
        <w:rPr>
          <w:rFonts w:ascii="Arial" w:hAnsi="Arial" w:cs="Arial"/>
          <w:b/>
        </w:rPr>
      </w:pPr>
      <w:r w:rsidRPr="00690F06">
        <w:rPr>
          <w:rFonts w:ascii="Arial" w:hAnsi="Arial" w:cs="Arial"/>
          <w:b/>
        </w:rPr>
        <w:t xml:space="preserve">Consultation </w:t>
      </w:r>
    </w:p>
    <w:p w:rsidR="00A24C63" w:rsidRPr="00690F06" w:rsidRDefault="00DC7603" w:rsidP="00A24C63">
      <w:pPr>
        <w:spacing w:after="240"/>
        <w:rPr>
          <w:rFonts w:ascii="Arial" w:hAnsi="Arial" w:cs="Arial"/>
        </w:rPr>
      </w:pPr>
      <w:r w:rsidRPr="00690F06">
        <w:rPr>
          <w:rFonts w:ascii="Arial" w:hAnsi="Arial" w:cs="Arial"/>
        </w:rPr>
        <w:t>Stakeholder consultation provides an opportunity to shape government policy decisions</w:t>
      </w:r>
      <w:r w:rsidR="00E07E4D" w:rsidRPr="00690F06">
        <w:rPr>
          <w:rFonts w:ascii="Arial" w:hAnsi="Arial" w:cs="Arial"/>
        </w:rPr>
        <w:t xml:space="preserve">. All stakeholders – including consumers, medical professionals, advocates, industry associations, importers, wholesalers, </w:t>
      </w:r>
      <w:r w:rsidR="006C74D6" w:rsidRPr="00690F06">
        <w:rPr>
          <w:rFonts w:ascii="Arial" w:hAnsi="Arial" w:cs="Arial"/>
        </w:rPr>
        <w:t>manufacturers</w:t>
      </w:r>
      <w:r w:rsidR="00E07E4D" w:rsidRPr="00690F06">
        <w:rPr>
          <w:rFonts w:ascii="Arial" w:hAnsi="Arial" w:cs="Arial"/>
        </w:rPr>
        <w:t xml:space="preserve"> and suppliers are invited to make submissions on any issue canvass</w:t>
      </w:r>
      <w:r w:rsidR="00A24C63" w:rsidRPr="00690F06">
        <w:rPr>
          <w:rFonts w:ascii="Arial" w:hAnsi="Arial" w:cs="Arial"/>
        </w:rPr>
        <w:t>ed in this draft RIS. The ACCC also seeks additional information to consider the benefits and costs associated with the options</w:t>
      </w:r>
      <w:r w:rsidR="00DD37DA">
        <w:rPr>
          <w:rFonts w:ascii="Arial" w:hAnsi="Arial" w:cs="Arial"/>
        </w:rPr>
        <w:t xml:space="preserve"> outlined</w:t>
      </w:r>
      <w:r w:rsidR="00597A21">
        <w:rPr>
          <w:rFonts w:ascii="Arial" w:hAnsi="Arial" w:cs="Arial"/>
        </w:rPr>
        <w:t xml:space="preserve"> below</w:t>
      </w:r>
      <w:r w:rsidR="00F8424B">
        <w:rPr>
          <w:rFonts w:ascii="Arial" w:hAnsi="Arial" w:cs="Arial"/>
        </w:rPr>
        <w:t xml:space="preserve">, and has </w:t>
      </w:r>
      <w:r w:rsidR="00A24C63" w:rsidRPr="00690F06">
        <w:rPr>
          <w:rFonts w:ascii="Arial" w:hAnsi="Arial" w:cs="Arial"/>
        </w:rPr>
        <w:t>posed specific questions in this draft RIS</w:t>
      </w:r>
      <w:r w:rsidR="00F8424B">
        <w:rPr>
          <w:rFonts w:ascii="Arial" w:hAnsi="Arial" w:cs="Arial"/>
        </w:rPr>
        <w:t xml:space="preserve"> for that purpose</w:t>
      </w:r>
      <w:r w:rsidR="00A24C63" w:rsidRPr="00690F06">
        <w:rPr>
          <w:rFonts w:ascii="Arial" w:hAnsi="Arial" w:cs="Arial"/>
        </w:rPr>
        <w:t>.</w:t>
      </w:r>
    </w:p>
    <w:p w:rsidR="00DF3372" w:rsidRPr="00690F06" w:rsidRDefault="00D858BE" w:rsidP="004736E3">
      <w:pPr>
        <w:spacing w:after="240"/>
        <w:rPr>
          <w:rFonts w:ascii="Arial" w:hAnsi="Arial" w:cs="Arial"/>
        </w:rPr>
      </w:pPr>
      <w:r w:rsidRPr="00D858BE">
        <w:rPr>
          <w:rFonts w:ascii="Arial" w:hAnsi="Arial" w:cs="Arial"/>
          <w:b/>
        </w:rPr>
        <w:t xml:space="preserve">Consultation commences on </w:t>
      </w:r>
      <w:r w:rsidR="00C17335">
        <w:rPr>
          <w:rFonts w:ascii="Arial" w:hAnsi="Arial" w:cs="Arial"/>
          <w:b/>
        </w:rPr>
        <w:t>Tuesday 24</w:t>
      </w:r>
      <w:r w:rsidRPr="00D858BE">
        <w:rPr>
          <w:rFonts w:ascii="Arial" w:hAnsi="Arial" w:cs="Arial"/>
          <w:b/>
        </w:rPr>
        <w:t xml:space="preserve"> February 2015 and closes on Friday 10 April 2015.</w:t>
      </w:r>
      <w:r>
        <w:rPr>
          <w:rFonts w:ascii="Arial" w:hAnsi="Arial" w:cs="Arial"/>
        </w:rPr>
        <w:t xml:space="preserve"> </w:t>
      </w:r>
      <w:r w:rsidR="001905FC">
        <w:rPr>
          <w:rFonts w:ascii="Arial" w:hAnsi="Arial" w:cs="Arial"/>
        </w:rPr>
        <w:t>The ACCC’s</w:t>
      </w:r>
      <w:r w:rsidR="005E3D72" w:rsidRPr="00690F06">
        <w:rPr>
          <w:rFonts w:ascii="Arial" w:hAnsi="Arial" w:cs="Arial"/>
        </w:rPr>
        <w:t xml:space="preserve"> preferred method of receiving submissions is via the Consultation Hub at: </w:t>
      </w:r>
      <w:hyperlink r:id="rId15" w:history="1">
        <w:r w:rsidR="005E3D72" w:rsidRPr="00690F06">
          <w:rPr>
            <w:rStyle w:val="Hyperlink"/>
            <w:rFonts w:ascii="Arial" w:hAnsi="Arial" w:cs="Arial"/>
          </w:rPr>
          <w:t>https://consultation.accc.gov.au/</w:t>
        </w:r>
      </w:hyperlink>
      <w:r w:rsidR="005E3D72" w:rsidRPr="00690F06">
        <w:rPr>
          <w:rFonts w:ascii="Arial" w:hAnsi="Arial" w:cs="Arial"/>
        </w:rPr>
        <w:t>.</w:t>
      </w:r>
    </w:p>
    <w:p w:rsidR="00AC56F7" w:rsidRPr="00057880" w:rsidRDefault="00DF2801" w:rsidP="002C39E8">
      <w:pPr>
        <w:pStyle w:val="Heading1"/>
        <w:numPr>
          <w:ilvl w:val="0"/>
          <w:numId w:val="18"/>
        </w:numPr>
        <w:spacing w:after="240"/>
        <w:ind w:left="357" w:hanging="357"/>
        <w:rPr>
          <w:rFonts w:ascii="Lucida Fax" w:hAnsi="Lucida Fax"/>
          <w:lang w:val="en-AU"/>
        </w:rPr>
      </w:pPr>
      <w:bookmarkStart w:id="2" w:name="_Toc412196632"/>
      <w:r w:rsidRPr="00057880">
        <w:rPr>
          <w:rFonts w:ascii="Lucida Fax" w:hAnsi="Lucida Fax"/>
          <w:lang w:val="en-AU"/>
        </w:rPr>
        <w:lastRenderedPageBreak/>
        <w:t>The problem</w:t>
      </w:r>
      <w:bookmarkEnd w:id="2"/>
    </w:p>
    <w:p w:rsidR="00C51FF3" w:rsidRDefault="00151EB9" w:rsidP="00C51FF3">
      <w:pPr>
        <w:autoSpaceDE w:val="0"/>
        <w:autoSpaceDN w:val="0"/>
        <w:adjustRightInd w:val="0"/>
        <w:rPr>
          <w:rFonts w:ascii="Arial" w:hAnsi="Arial" w:cs="Arial"/>
        </w:rPr>
      </w:pPr>
      <w:r>
        <w:rPr>
          <w:rFonts w:ascii="Arial" w:hAnsi="Arial" w:cs="Arial"/>
        </w:rPr>
        <w:t>S</w:t>
      </w:r>
      <w:r w:rsidR="00C51FF3">
        <w:rPr>
          <w:rFonts w:ascii="Arial" w:hAnsi="Arial" w:cs="Arial"/>
        </w:rPr>
        <w:t xml:space="preserve">ome </w:t>
      </w:r>
      <w:r w:rsidR="00306974">
        <w:rPr>
          <w:rFonts w:ascii="Arial" w:hAnsi="Arial" w:cs="Arial"/>
        </w:rPr>
        <w:t xml:space="preserve">azo </w:t>
      </w:r>
      <w:r w:rsidR="00C51FF3">
        <w:rPr>
          <w:rFonts w:ascii="Arial" w:hAnsi="Arial" w:cs="Arial"/>
        </w:rPr>
        <w:t xml:space="preserve">dyes used in the manufacture of direct and prolonged contact articles can </w:t>
      </w:r>
      <w:r w:rsidR="00306974">
        <w:rPr>
          <w:rFonts w:ascii="Arial" w:hAnsi="Arial" w:cs="Arial"/>
        </w:rPr>
        <w:t xml:space="preserve">unnecessarily and involuntarily </w:t>
      </w:r>
      <w:r w:rsidR="00C51FF3">
        <w:rPr>
          <w:rFonts w:ascii="Arial" w:hAnsi="Arial" w:cs="Arial"/>
        </w:rPr>
        <w:t xml:space="preserve">expose consumers to aromatic amines </w:t>
      </w:r>
      <w:r w:rsidR="00316A7E">
        <w:rPr>
          <w:rFonts w:ascii="Arial" w:hAnsi="Arial" w:cs="Arial"/>
        </w:rPr>
        <w:t>which</w:t>
      </w:r>
      <w:r w:rsidR="00C51FF3">
        <w:rPr>
          <w:rFonts w:ascii="Arial" w:hAnsi="Arial" w:cs="Arial"/>
        </w:rPr>
        <w:t xml:space="preserve"> are known or suspected to </w:t>
      </w:r>
      <w:r w:rsidR="00440DE8">
        <w:rPr>
          <w:rFonts w:ascii="Arial" w:hAnsi="Arial" w:cs="Arial"/>
        </w:rPr>
        <w:t xml:space="preserve">be </w:t>
      </w:r>
      <w:r w:rsidR="00C51FF3">
        <w:rPr>
          <w:rFonts w:ascii="Arial" w:hAnsi="Arial" w:cs="Arial"/>
        </w:rPr>
        <w:t xml:space="preserve">carcinogens. The ACCC considers that </w:t>
      </w:r>
      <w:r w:rsidR="00E32E01">
        <w:rPr>
          <w:rFonts w:ascii="Arial" w:hAnsi="Arial" w:cs="Arial"/>
        </w:rPr>
        <w:t>direct and prolonged contact articles</w:t>
      </w:r>
      <w:r w:rsidR="00C51FF3">
        <w:rPr>
          <w:rFonts w:ascii="Arial" w:hAnsi="Arial" w:cs="Arial"/>
        </w:rPr>
        <w:t xml:space="preserve"> are unsafe if they contain aromatic amines in excess of the European Union</w:t>
      </w:r>
      <w:r w:rsidR="00E32E01">
        <w:rPr>
          <w:rFonts w:ascii="Arial" w:hAnsi="Arial" w:cs="Arial"/>
        </w:rPr>
        <w:t>’s</w:t>
      </w:r>
      <w:r w:rsidR="00306974">
        <w:rPr>
          <w:rFonts w:ascii="Arial" w:hAnsi="Arial" w:cs="Arial"/>
        </w:rPr>
        <w:t xml:space="preserve"> (EU)</w:t>
      </w:r>
      <w:r w:rsidR="00C51FF3">
        <w:rPr>
          <w:rFonts w:ascii="Arial" w:hAnsi="Arial" w:cs="Arial"/>
        </w:rPr>
        <w:t xml:space="preserve"> </w:t>
      </w:r>
      <w:r w:rsidR="00E32E01" w:rsidRPr="005F7D8B">
        <w:rPr>
          <w:rFonts w:ascii="Arial" w:hAnsi="Arial" w:cs="Arial"/>
        </w:rPr>
        <w:t>acceptable limit of 30</w:t>
      </w:r>
      <w:r w:rsidR="00E32E01">
        <w:rPr>
          <w:rFonts w:ascii="Arial" w:hAnsi="Arial" w:cs="Arial"/>
        </w:rPr>
        <w:t> </w:t>
      </w:r>
      <w:r w:rsidR="00E32E01" w:rsidRPr="005F7D8B">
        <w:rPr>
          <w:rFonts w:ascii="Arial" w:hAnsi="Arial" w:cs="Arial"/>
        </w:rPr>
        <w:t>mg/kg (30</w:t>
      </w:r>
      <w:r w:rsidR="00E32E01">
        <w:rPr>
          <w:rFonts w:ascii="Arial" w:hAnsi="Arial" w:cs="Arial"/>
        </w:rPr>
        <w:t> </w:t>
      </w:r>
      <w:r w:rsidR="00E32E01" w:rsidRPr="005F7D8B">
        <w:rPr>
          <w:rFonts w:ascii="Arial" w:hAnsi="Arial" w:cs="Arial"/>
        </w:rPr>
        <w:t>parts per million)</w:t>
      </w:r>
      <w:r w:rsidR="00C51FF3">
        <w:rPr>
          <w:rFonts w:ascii="Arial" w:hAnsi="Arial" w:cs="Arial"/>
        </w:rPr>
        <w:t>.</w:t>
      </w:r>
      <w:r>
        <w:rPr>
          <w:rFonts w:ascii="Arial" w:hAnsi="Arial" w:cs="Arial"/>
        </w:rPr>
        <w:t xml:space="preserve"> Consumers cannot detect this hazard</w:t>
      </w:r>
      <w:r w:rsidR="00306974">
        <w:rPr>
          <w:rFonts w:ascii="Arial" w:hAnsi="Arial" w:cs="Arial"/>
        </w:rPr>
        <w:t xml:space="preserve"> when purchasing articles.</w:t>
      </w:r>
    </w:p>
    <w:p w:rsidR="00EF1EA3" w:rsidRPr="00B85022" w:rsidRDefault="00151EB9" w:rsidP="00EF1EA3">
      <w:pPr>
        <w:spacing w:before="240" w:after="240"/>
        <w:rPr>
          <w:rFonts w:ascii="Arial" w:hAnsi="Arial" w:cs="Arial"/>
          <w:b/>
        </w:rPr>
      </w:pPr>
      <w:r>
        <w:rPr>
          <w:rFonts w:ascii="Arial" w:hAnsi="Arial" w:cs="Arial"/>
          <w:b/>
        </w:rPr>
        <w:t xml:space="preserve">The </w:t>
      </w:r>
      <w:r w:rsidR="00EF1EA3" w:rsidRPr="00B85022">
        <w:rPr>
          <w:rFonts w:ascii="Arial" w:hAnsi="Arial" w:cs="Arial"/>
          <w:b/>
        </w:rPr>
        <w:t>A</w:t>
      </w:r>
      <w:r>
        <w:rPr>
          <w:rFonts w:ascii="Arial" w:hAnsi="Arial" w:cs="Arial"/>
          <w:b/>
        </w:rPr>
        <w:t xml:space="preserve">CCC survey </w:t>
      </w:r>
    </w:p>
    <w:p w:rsidR="00EF1EA3" w:rsidRPr="005F7D8B" w:rsidRDefault="00EF1EA3" w:rsidP="00EF1EA3">
      <w:pPr>
        <w:spacing w:after="240"/>
        <w:rPr>
          <w:rFonts w:ascii="Arial" w:hAnsi="Arial" w:cs="Arial"/>
        </w:rPr>
      </w:pPr>
      <w:r>
        <w:rPr>
          <w:rFonts w:ascii="Arial" w:hAnsi="Arial" w:cs="Arial"/>
        </w:rPr>
        <w:t>In late 2013 the</w:t>
      </w:r>
      <w:r w:rsidRPr="005F7D8B">
        <w:rPr>
          <w:rFonts w:ascii="Arial" w:hAnsi="Arial" w:cs="Arial"/>
        </w:rPr>
        <w:t xml:space="preserve"> ACCC commissioned the testing of </w:t>
      </w:r>
      <w:r w:rsidR="003875F5" w:rsidRPr="005F7D8B">
        <w:rPr>
          <w:rFonts w:ascii="Arial" w:hAnsi="Arial" w:cs="Arial"/>
        </w:rPr>
        <w:t>199</w:t>
      </w:r>
      <w:r w:rsidR="003875F5">
        <w:rPr>
          <w:rFonts w:ascii="Arial" w:hAnsi="Arial" w:cs="Arial"/>
        </w:rPr>
        <w:t> </w:t>
      </w:r>
      <w:r w:rsidRPr="005F7D8B">
        <w:rPr>
          <w:rFonts w:ascii="Arial" w:hAnsi="Arial" w:cs="Arial"/>
        </w:rPr>
        <w:t>direct and prolonged contact articles selected from mainstream suppliers in Australia.</w:t>
      </w:r>
      <w:r w:rsidRPr="005F7D8B">
        <w:rPr>
          <w:rFonts w:ascii="Arial" w:hAnsi="Arial" w:cs="Arial"/>
          <w:vertAlign w:val="superscript"/>
        </w:rPr>
        <w:footnoteReference w:id="7"/>
      </w:r>
      <w:r w:rsidRPr="005F7D8B">
        <w:rPr>
          <w:rFonts w:ascii="Arial" w:hAnsi="Arial" w:cs="Arial"/>
        </w:rPr>
        <w:t xml:space="preserve"> The articles purchased were readily available and likely to be worn in direct and prolonged contact with the skin.</w:t>
      </w:r>
      <w:r>
        <w:rPr>
          <w:rFonts w:ascii="Arial" w:hAnsi="Arial" w:cs="Arial"/>
        </w:rPr>
        <w:t xml:space="preserve"> </w:t>
      </w:r>
      <w:r w:rsidRPr="005F7D8B">
        <w:rPr>
          <w:rFonts w:ascii="Arial" w:hAnsi="Arial" w:cs="Arial"/>
        </w:rPr>
        <w:t xml:space="preserve">The ACCC conducted further testing of an additional </w:t>
      </w:r>
      <w:r w:rsidR="003875F5" w:rsidRPr="005F7D8B">
        <w:rPr>
          <w:rFonts w:ascii="Arial" w:hAnsi="Arial" w:cs="Arial"/>
        </w:rPr>
        <w:t>28</w:t>
      </w:r>
      <w:r w:rsidR="003875F5">
        <w:rPr>
          <w:rFonts w:ascii="Arial" w:hAnsi="Arial" w:cs="Arial"/>
        </w:rPr>
        <w:t> </w:t>
      </w:r>
      <w:r w:rsidRPr="005F7D8B">
        <w:rPr>
          <w:rFonts w:ascii="Arial" w:hAnsi="Arial" w:cs="Arial"/>
        </w:rPr>
        <w:t xml:space="preserve">articles which were related variants of the articles where hazardous aromatic amines were initially detected. Subsequently, the ACCC surveyed a further tranche of </w:t>
      </w:r>
      <w:r w:rsidR="003875F5" w:rsidRPr="005F7D8B">
        <w:rPr>
          <w:rFonts w:ascii="Arial" w:hAnsi="Arial" w:cs="Arial"/>
        </w:rPr>
        <w:t>79</w:t>
      </w:r>
      <w:r w:rsidR="003875F5">
        <w:rPr>
          <w:rFonts w:ascii="Arial" w:hAnsi="Arial" w:cs="Arial"/>
        </w:rPr>
        <w:t> </w:t>
      </w:r>
      <w:r w:rsidRPr="005F7D8B">
        <w:rPr>
          <w:rFonts w:ascii="Arial" w:hAnsi="Arial" w:cs="Arial"/>
        </w:rPr>
        <w:t>articles of the same product categor</w:t>
      </w:r>
      <w:r w:rsidR="00306974">
        <w:rPr>
          <w:rFonts w:ascii="Arial" w:hAnsi="Arial" w:cs="Arial"/>
        </w:rPr>
        <w:t>ies</w:t>
      </w:r>
      <w:r w:rsidRPr="005F7D8B">
        <w:rPr>
          <w:rFonts w:ascii="Arial" w:hAnsi="Arial" w:cs="Arial"/>
        </w:rPr>
        <w:t xml:space="preserve"> where hazardous aromatic amines </w:t>
      </w:r>
      <w:r w:rsidR="00306974">
        <w:rPr>
          <w:rFonts w:ascii="Arial" w:hAnsi="Arial" w:cs="Arial"/>
        </w:rPr>
        <w:t>had been detected earlier</w:t>
      </w:r>
      <w:r w:rsidRPr="005F7D8B">
        <w:rPr>
          <w:rFonts w:ascii="Arial" w:hAnsi="Arial" w:cs="Arial"/>
        </w:rPr>
        <w:t xml:space="preserve">. These were predominantly coloured jeans and pillow slips. </w:t>
      </w:r>
    </w:p>
    <w:p w:rsidR="00EF1EA3" w:rsidRPr="005F7D8B" w:rsidRDefault="00EF1EA3" w:rsidP="00EF1EA3">
      <w:pPr>
        <w:spacing w:after="240"/>
        <w:rPr>
          <w:rFonts w:ascii="Arial" w:hAnsi="Arial" w:cs="Arial"/>
        </w:rPr>
      </w:pPr>
      <w:r w:rsidRPr="005F7D8B">
        <w:rPr>
          <w:rFonts w:ascii="Arial" w:hAnsi="Arial" w:cs="Arial"/>
        </w:rPr>
        <w:t xml:space="preserve">The majority of the first tranche of randomly selected </w:t>
      </w:r>
      <w:r w:rsidR="00FD0036">
        <w:rPr>
          <w:rFonts w:ascii="Arial" w:hAnsi="Arial" w:cs="Arial"/>
        </w:rPr>
        <w:t>articles</w:t>
      </w:r>
      <w:r w:rsidRPr="005F7D8B">
        <w:rPr>
          <w:rFonts w:ascii="Arial" w:hAnsi="Arial" w:cs="Arial"/>
        </w:rPr>
        <w:t xml:space="preserve"> (approximately 97 per cent) passed testing with either no detection or low detection of hazardous aromatic amines. However, a number of </w:t>
      </w:r>
      <w:r w:rsidR="00FD0036">
        <w:rPr>
          <w:rFonts w:ascii="Arial" w:hAnsi="Arial" w:cs="Arial"/>
        </w:rPr>
        <w:t>articles</w:t>
      </w:r>
      <w:r w:rsidRPr="005F7D8B">
        <w:rPr>
          <w:rFonts w:ascii="Arial" w:hAnsi="Arial" w:cs="Arial"/>
        </w:rPr>
        <w:t xml:space="preserve"> recorded concentrations in excess of the </w:t>
      </w:r>
      <w:r w:rsidR="00F32631">
        <w:rPr>
          <w:rFonts w:ascii="Arial" w:hAnsi="Arial" w:cs="Arial"/>
        </w:rPr>
        <w:t>EU</w:t>
      </w:r>
      <w:r w:rsidR="00306974">
        <w:rPr>
          <w:rFonts w:ascii="Arial" w:hAnsi="Arial" w:cs="Arial"/>
        </w:rPr>
        <w:t>’s</w:t>
      </w:r>
      <w:r w:rsidR="00F32631">
        <w:rPr>
          <w:rFonts w:ascii="Arial" w:hAnsi="Arial" w:cs="Arial"/>
        </w:rPr>
        <w:t xml:space="preserve"> </w:t>
      </w:r>
      <w:r w:rsidRPr="005F7D8B">
        <w:rPr>
          <w:rFonts w:ascii="Arial" w:hAnsi="Arial" w:cs="Arial"/>
        </w:rPr>
        <w:t xml:space="preserve">acceptable limit of </w:t>
      </w:r>
      <w:r w:rsidR="003875F5" w:rsidRPr="005F7D8B">
        <w:rPr>
          <w:rFonts w:ascii="Arial" w:hAnsi="Arial" w:cs="Arial"/>
        </w:rPr>
        <w:t>30</w:t>
      </w:r>
      <w:r w:rsidR="003875F5">
        <w:rPr>
          <w:rFonts w:ascii="Arial" w:hAnsi="Arial" w:cs="Arial"/>
        </w:rPr>
        <w:t> </w:t>
      </w:r>
      <w:r w:rsidR="00FD0036">
        <w:rPr>
          <w:rFonts w:ascii="Arial" w:hAnsi="Arial" w:cs="Arial"/>
        </w:rPr>
        <w:t>mg/kg</w:t>
      </w:r>
      <w:r w:rsidRPr="005F7D8B">
        <w:rPr>
          <w:rFonts w:ascii="Arial" w:hAnsi="Arial" w:cs="Arial"/>
        </w:rPr>
        <w:t xml:space="preserve">. </w:t>
      </w:r>
      <w:r w:rsidR="00BE644A">
        <w:rPr>
          <w:rFonts w:ascii="Arial" w:hAnsi="Arial" w:cs="Arial"/>
        </w:rPr>
        <w:t>W</w:t>
      </w:r>
      <w:r w:rsidRPr="005F7D8B">
        <w:rPr>
          <w:rFonts w:ascii="Arial" w:hAnsi="Arial" w:cs="Arial"/>
        </w:rPr>
        <w:t>ashing did not resolve the detections. Given the subsequent tranches were more targeted to identified risk profiles, a modest increase in the rate of failure at testing was expected and did occur.</w:t>
      </w:r>
    </w:p>
    <w:p w:rsidR="00EF1EA3" w:rsidRPr="005F7D8B" w:rsidRDefault="00EF1EA3" w:rsidP="00EF1EA3">
      <w:pPr>
        <w:spacing w:after="240"/>
        <w:rPr>
          <w:rFonts w:ascii="Arial" w:hAnsi="Arial" w:cs="Arial"/>
        </w:rPr>
      </w:pPr>
      <w:r w:rsidRPr="005F7D8B">
        <w:rPr>
          <w:rFonts w:ascii="Arial" w:hAnsi="Arial" w:cs="Arial"/>
        </w:rPr>
        <w:t xml:space="preserve">As a result of testing by the ACCC and suppliers, </w:t>
      </w:r>
      <w:r w:rsidR="003875F5" w:rsidRPr="005F7D8B">
        <w:rPr>
          <w:rFonts w:ascii="Arial" w:hAnsi="Arial" w:cs="Arial"/>
        </w:rPr>
        <w:t>37</w:t>
      </w:r>
      <w:r w:rsidR="003875F5">
        <w:rPr>
          <w:rFonts w:ascii="Arial" w:hAnsi="Arial" w:cs="Arial"/>
        </w:rPr>
        <w:t> </w:t>
      </w:r>
      <w:r w:rsidRPr="005F7D8B">
        <w:rPr>
          <w:rFonts w:ascii="Arial" w:hAnsi="Arial" w:cs="Arial"/>
        </w:rPr>
        <w:t xml:space="preserve">product lines of clothing and textiles from nine suppliers were voluntarily recalled. </w:t>
      </w:r>
      <w:r>
        <w:rPr>
          <w:rFonts w:ascii="Arial" w:hAnsi="Arial" w:cs="Arial"/>
        </w:rPr>
        <w:t xml:space="preserve">Nearly </w:t>
      </w:r>
      <w:r w:rsidR="003875F5">
        <w:rPr>
          <w:rFonts w:ascii="Arial" w:hAnsi="Arial" w:cs="Arial"/>
        </w:rPr>
        <w:t>208 </w:t>
      </w:r>
      <w:r>
        <w:rPr>
          <w:rFonts w:ascii="Arial" w:hAnsi="Arial" w:cs="Arial"/>
        </w:rPr>
        <w:t>000 individual articles were identified for recall.</w:t>
      </w:r>
      <w:r w:rsidR="00697104">
        <w:rPr>
          <w:rFonts w:ascii="Arial" w:hAnsi="Arial" w:cs="Arial"/>
        </w:rPr>
        <w:t xml:space="preserve"> </w:t>
      </w:r>
      <w:r w:rsidR="00697104" w:rsidRPr="00690F06">
        <w:rPr>
          <w:rFonts w:ascii="Arial" w:hAnsi="Arial" w:cs="Arial"/>
        </w:rPr>
        <w:t xml:space="preserve">In all cases </w:t>
      </w:r>
      <w:r w:rsidR="00697104">
        <w:rPr>
          <w:rFonts w:ascii="Arial" w:hAnsi="Arial" w:cs="Arial"/>
        </w:rPr>
        <w:t xml:space="preserve">where </w:t>
      </w:r>
      <w:r w:rsidR="00306974">
        <w:rPr>
          <w:rFonts w:ascii="Arial" w:hAnsi="Arial" w:cs="Arial"/>
        </w:rPr>
        <w:t xml:space="preserve">hazardous </w:t>
      </w:r>
      <w:r w:rsidR="00697104">
        <w:rPr>
          <w:rFonts w:ascii="Arial" w:hAnsi="Arial" w:cs="Arial"/>
        </w:rPr>
        <w:t>aromatic amines were detected</w:t>
      </w:r>
      <w:r w:rsidR="00697104" w:rsidRPr="00690F06">
        <w:rPr>
          <w:rFonts w:ascii="Arial" w:hAnsi="Arial" w:cs="Arial"/>
        </w:rPr>
        <w:t xml:space="preserve"> the articles </w:t>
      </w:r>
      <w:r w:rsidR="0026653C">
        <w:rPr>
          <w:rFonts w:ascii="Arial" w:hAnsi="Arial" w:cs="Arial"/>
        </w:rPr>
        <w:t>had been</w:t>
      </w:r>
      <w:r w:rsidR="00697104" w:rsidRPr="00690F06">
        <w:rPr>
          <w:rFonts w:ascii="Arial" w:hAnsi="Arial" w:cs="Arial"/>
        </w:rPr>
        <w:t xml:space="preserve"> imported into Australia.</w:t>
      </w:r>
    </w:p>
    <w:p w:rsidR="00EF1EA3" w:rsidRDefault="00BE644A" w:rsidP="00EF1EA3">
      <w:pPr>
        <w:spacing w:after="240"/>
        <w:rPr>
          <w:rFonts w:ascii="Arial" w:hAnsi="Arial" w:cs="Arial"/>
        </w:rPr>
      </w:pPr>
      <w:r>
        <w:rPr>
          <w:rFonts w:ascii="Arial" w:hAnsi="Arial" w:cs="Arial"/>
        </w:rPr>
        <w:t>The cost of p</w:t>
      </w:r>
      <w:r w:rsidR="00EF1EA3" w:rsidRPr="005F7D8B">
        <w:rPr>
          <w:rFonts w:ascii="Arial" w:hAnsi="Arial" w:cs="Arial"/>
        </w:rPr>
        <w:t>roduct purchase, testing and ACCC staff time to manage the survey and liaise with suppliers on survey results and recalls was approximately $1</w:t>
      </w:r>
      <w:r w:rsidR="00A07532">
        <w:rPr>
          <w:rFonts w:ascii="Arial" w:hAnsi="Arial" w:cs="Arial"/>
        </w:rPr>
        <w:t>4</w:t>
      </w:r>
      <w:r w:rsidR="00EF1EA3" w:rsidRPr="005F7D8B">
        <w:rPr>
          <w:rFonts w:ascii="Arial" w:hAnsi="Arial" w:cs="Arial"/>
        </w:rPr>
        <w:t xml:space="preserve">0 000. </w:t>
      </w:r>
    </w:p>
    <w:p w:rsidR="00EF1EA3" w:rsidRPr="00690F06" w:rsidRDefault="00EF1EA3" w:rsidP="00EF1EA3">
      <w:pPr>
        <w:spacing w:before="240" w:after="240"/>
        <w:rPr>
          <w:rFonts w:ascii="Arial" w:hAnsi="Arial" w:cs="Arial"/>
          <w:b/>
        </w:rPr>
      </w:pPr>
      <w:r w:rsidRPr="00690F06">
        <w:rPr>
          <w:rFonts w:ascii="Arial" w:hAnsi="Arial" w:cs="Arial"/>
          <w:b/>
        </w:rPr>
        <w:t>Aromatic amine exposure and the risk of cancer</w:t>
      </w:r>
    </w:p>
    <w:p w:rsidR="00EF1EA3" w:rsidRPr="00690F06" w:rsidRDefault="00EF1EA3" w:rsidP="00EF1EA3">
      <w:pPr>
        <w:spacing w:after="240"/>
        <w:rPr>
          <w:rFonts w:ascii="Arial" w:hAnsi="Arial" w:cs="Arial"/>
        </w:rPr>
      </w:pPr>
      <w:r w:rsidRPr="00690F06">
        <w:rPr>
          <w:rFonts w:ascii="Arial" w:hAnsi="Arial" w:cs="Arial"/>
        </w:rPr>
        <w:t>Expert authorities, such as the International Agency for Research on Cancer (IARC)</w:t>
      </w:r>
      <w:r w:rsidR="003875F5">
        <w:rPr>
          <w:rFonts w:ascii="Arial" w:hAnsi="Arial" w:cs="Arial"/>
        </w:rPr>
        <w:t>,</w:t>
      </w:r>
      <w:r w:rsidRPr="00690F06">
        <w:rPr>
          <w:rFonts w:ascii="Arial" w:hAnsi="Arial" w:cs="Arial"/>
        </w:rPr>
        <w:t xml:space="preserve"> which operates under the World Health </w:t>
      </w:r>
      <w:r w:rsidR="003875F5" w:rsidRPr="00690F06">
        <w:rPr>
          <w:rFonts w:ascii="Arial" w:hAnsi="Arial" w:cs="Arial"/>
        </w:rPr>
        <w:t>Organi</w:t>
      </w:r>
      <w:r w:rsidR="003875F5">
        <w:rPr>
          <w:rFonts w:ascii="Arial" w:hAnsi="Arial" w:cs="Arial"/>
        </w:rPr>
        <w:t>z</w:t>
      </w:r>
      <w:r w:rsidR="003875F5" w:rsidRPr="00690F06">
        <w:rPr>
          <w:rFonts w:ascii="Arial" w:hAnsi="Arial" w:cs="Arial"/>
        </w:rPr>
        <w:t xml:space="preserve">ation </w:t>
      </w:r>
      <w:r w:rsidRPr="00690F06">
        <w:rPr>
          <w:rFonts w:ascii="Arial" w:hAnsi="Arial" w:cs="Arial"/>
        </w:rPr>
        <w:t>(WHO), have classified some of these aromatic amines as known or suspected human carcinogens.</w:t>
      </w:r>
      <w:r w:rsidRPr="00690F06">
        <w:rPr>
          <w:rStyle w:val="FootnoteReference"/>
          <w:rFonts w:ascii="Arial" w:hAnsi="Arial" w:cs="Arial"/>
        </w:rPr>
        <w:footnoteReference w:id="8"/>
      </w:r>
      <w:r w:rsidRPr="00690F06">
        <w:rPr>
          <w:rFonts w:ascii="Arial" w:hAnsi="Arial" w:cs="Arial"/>
        </w:rPr>
        <w:t xml:space="preserve"> A carcinogen is a substance that is capable of causing cancer. Exposure to a carcinogen does not mean cancer will necessarily result.</w:t>
      </w:r>
    </w:p>
    <w:p w:rsidR="00EF1EA3" w:rsidRPr="00690F06" w:rsidRDefault="00EF1EA3" w:rsidP="00EF1EA3">
      <w:pPr>
        <w:spacing w:after="240"/>
        <w:rPr>
          <w:rFonts w:ascii="Arial" w:hAnsi="Arial" w:cs="Arial"/>
        </w:rPr>
      </w:pPr>
      <w:r w:rsidRPr="00690F06">
        <w:rPr>
          <w:rFonts w:ascii="Arial" w:hAnsi="Arial" w:cs="Arial"/>
        </w:rPr>
        <w:t xml:space="preserve">In the case of benzidine, the primary human health risk associated with exposure is cancer. The IARC classifies benzidine as a </w:t>
      </w:r>
      <w:r w:rsidR="003875F5" w:rsidRPr="00690F06">
        <w:rPr>
          <w:rFonts w:ascii="Arial" w:hAnsi="Arial" w:cs="Arial"/>
        </w:rPr>
        <w:t>Group</w:t>
      </w:r>
      <w:r w:rsidR="003875F5">
        <w:rPr>
          <w:rFonts w:ascii="Arial" w:hAnsi="Arial" w:cs="Arial"/>
        </w:rPr>
        <w:t> </w:t>
      </w:r>
      <w:r w:rsidRPr="00690F06">
        <w:rPr>
          <w:rFonts w:ascii="Arial" w:hAnsi="Arial" w:cs="Arial"/>
        </w:rPr>
        <w:t xml:space="preserve">1 </w:t>
      </w:r>
      <w:r w:rsidR="003875F5">
        <w:rPr>
          <w:rFonts w:ascii="Arial" w:hAnsi="Arial" w:cs="Arial"/>
        </w:rPr>
        <w:t>carcinogen –</w:t>
      </w:r>
      <w:r w:rsidRPr="00690F06">
        <w:rPr>
          <w:rFonts w:ascii="Arial" w:hAnsi="Arial" w:cs="Arial"/>
        </w:rPr>
        <w:t xml:space="preserve"> </w:t>
      </w:r>
      <w:r w:rsidR="003875F5">
        <w:rPr>
          <w:rFonts w:ascii="Arial" w:hAnsi="Arial" w:cs="Arial"/>
        </w:rPr>
        <w:t xml:space="preserve">a </w:t>
      </w:r>
      <w:r w:rsidRPr="00690F06">
        <w:rPr>
          <w:rFonts w:ascii="Arial" w:hAnsi="Arial" w:cs="Arial"/>
        </w:rPr>
        <w:t>known human carcinogen.</w:t>
      </w:r>
      <w:r w:rsidRPr="00690F06">
        <w:rPr>
          <w:rStyle w:val="FootnoteReference"/>
          <w:rFonts w:ascii="Arial" w:hAnsi="Arial" w:cs="Arial"/>
        </w:rPr>
        <w:footnoteReference w:id="9"/>
      </w:r>
      <w:r w:rsidRPr="00690F06">
        <w:rPr>
          <w:rFonts w:ascii="Arial" w:hAnsi="Arial" w:cs="Arial"/>
        </w:rPr>
        <w:t xml:space="preserve"> IARC </w:t>
      </w:r>
      <w:r w:rsidR="003875F5" w:rsidRPr="00690F06">
        <w:rPr>
          <w:rFonts w:ascii="Arial" w:hAnsi="Arial" w:cs="Arial"/>
        </w:rPr>
        <w:t>Group</w:t>
      </w:r>
      <w:r w:rsidR="003875F5">
        <w:rPr>
          <w:rFonts w:ascii="Arial" w:hAnsi="Arial" w:cs="Arial"/>
        </w:rPr>
        <w:t> </w:t>
      </w:r>
      <w:r w:rsidRPr="00690F06">
        <w:rPr>
          <w:rFonts w:ascii="Arial" w:hAnsi="Arial" w:cs="Arial"/>
        </w:rPr>
        <w:t>1 classification means that there is sufficient evidence that the chemical is capable of causing cancer in humans if there is sufficient exposure.</w:t>
      </w:r>
    </w:p>
    <w:p w:rsidR="00EF1EA3" w:rsidRPr="00690F06" w:rsidRDefault="00EF1EA3" w:rsidP="00EF1EA3">
      <w:pPr>
        <w:spacing w:after="240"/>
        <w:rPr>
          <w:rFonts w:ascii="Arial" w:hAnsi="Arial" w:cs="Arial"/>
        </w:rPr>
      </w:pPr>
      <w:r w:rsidRPr="00690F06">
        <w:rPr>
          <w:rFonts w:ascii="Arial" w:hAnsi="Arial" w:cs="Arial"/>
        </w:rPr>
        <w:lastRenderedPageBreak/>
        <w:t>The IARC classifies other aromatic amines like 3</w:t>
      </w:r>
      <w:proofErr w:type="gramStart"/>
      <w:r w:rsidRPr="00690F06">
        <w:rPr>
          <w:rFonts w:ascii="Arial" w:hAnsi="Arial" w:cs="Arial"/>
        </w:rPr>
        <w:t>,3’</w:t>
      </w:r>
      <w:proofErr w:type="gramEnd"/>
      <w:r w:rsidRPr="00690F06">
        <w:rPr>
          <w:rFonts w:ascii="Arial" w:hAnsi="Arial" w:cs="Arial"/>
        </w:rPr>
        <w:t xml:space="preserve">-dimethoxybenzidine and </w:t>
      </w:r>
      <w:r w:rsidR="00BF1452">
        <w:rPr>
          <w:rFonts w:ascii="Arial" w:hAnsi="Arial" w:cs="Arial"/>
        </w:rPr>
        <w:br w:type="textWrapping" w:clear="all"/>
      </w:r>
      <w:r w:rsidRPr="00690F06">
        <w:rPr>
          <w:rFonts w:ascii="Arial" w:hAnsi="Arial" w:cs="Arial"/>
        </w:rPr>
        <w:t>p-</w:t>
      </w:r>
      <w:proofErr w:type="spellStart"/>
      <w:r w:rsidRPr="00690F06">
        <w:rPr>
          <w:rFonts w:ascii="Arial" w:hAnsi="Arial" w:cs="Arial"/>
        </w:rPr>
        <w:t>aminoazobenzene</w:t>
      </w:r>
      <w:proofErr w:type="spellEnd"/>
      <w:r w:rsidRPr="00690F06">
        <w:rPr>
          <w:rFonts w:ascii="Arial" w:hAnsi="Arial" w:cs="Arial"/>
        </w:rPr>
        <w:t xml:space="preserve"> as </w:t>
      </w:r>
      <w:r w:rsidR="003875F5" w:rsidRPr="00690F06">
        <w:rPr>
          <w:rFonts w:ascii="Arial" w:hAnsi="Arial" w:cs="Arial"/>
        </w:rPr>
        <w:t>Group</w:t>
      </w:r>
      <w:r w:rsidR="003875F5">
        <w:rPr>
          <w:rFonts w:ascii="Arial" w:hAnsi="Arial" w:cs="Arial"/>
        </w:rPr>
        <w:t> </w:t>
      </w:r>
      <w:r w:rsidRPr="00690F06">
        <w:rPr>
          <w:rFonts w:ascii="Arial" w:hAnsi="Arial" w:cs="Arial"/>
        </w:rPr>
        <w:t>2B carcinogens.</w:t>
      </w:r>
      <w:r w:rsidRPr="00690F06">
        <w:rPr>
          <w:rStyle w:val="FootnoteReference"/>
          <w:rFonts w:ascii="Arial" w:hAnsi="Arial" w:cs="Arial"/>
        </w:rPr>
        <w:footnoteReference w:id="10"/>
      </w:r>
      <w:r w:rsidRPr="00690F06">
        <w:rPr>
          <w:rFonts w:ascii="Arial" w:hAnsi="Arial" w:cs="Arial"/>
        </w:rPr>
        <w:t xml:space="preserve"> The </w:t>
      </w:r>
      <w:r w:rsidR="003875F5" w:rsidRPr="00690F06">
        <w:rPr>
          <w:rFonts w:ascii="Arial" w:hAnsi="Arial" w:cs="Arial"/>
        </w:rPr>
        <w:t>Group</w:t>
      </w:r>
      <w:r w:rsidR="003875F5">
        <w:rPr>
          <w:rFonts w:ascii="Arial" w:hAnsi="Arial" w:cs="Arial"/>
        </w:rPr>
        <w:t> </w:t>
      </w:r>
      <w:r w:rsidRPr="00690F06">
        <w:rPr>
          <w:rFonts w:ascii="Arial" w:hAnsi="Arial" w:cs="Arial"/>
        </w:rPr>
        <w:t xml:space="preserve">2B classification is the highest available to the IARC when the carcinogenic effect is evident in animal studies but there is insufficient human data to assess the carcinogenicity to humans. It should not be taken to mean that the chemical is a less potent carcinogen than those classified in </w:t>
      </w:r>
      <w:r w:rsidR="003875F5" w:rsidRPr="00690F06">
        <w:rPr>
          <w:rFonts w:ascii="Arial" w:hAnsi="Arial" w:cs="Arial"/>
        </w:rPr>
        <w:t>Group</w:t>
      </w:r>
      <w:r w:rsidR="003875F5">
        <w:rPr>
          <w:rFonts w:ascii="Arial" w:hAnsi="Arial" w:cs="Arial"/>
        </w:rPr>
        <w:t> </w:t>
      </w:r>
      <w:r w:rsidRPr="00690F06">
        <w:rPr>
          <w:rFonts w:ascii="Arial" w:hAnsi="Arial" w:cs="Arial"/>
        </w:rPr>
        <w:t>2A or Group 1.</w:t>
      </w:r>
    </w:p>
    <w:p w:rsidR="00EF1EA3" w:rsidRPr="00690F06" w:rsidRDefault="00EF1EA3" w:rsidP="00EF1EA3">
      <w:pPr>
        <w:spacing w:after="240"/>
        <w:rPr>
          <w:rFonts w:ascii="Arial" w:hAnsi="Arial" w:cs="Arial"/>
        </w:rPr>
      </w:pPr>
      <w:r w:rsidRPr="00690F06">
        <w:rPr>
          <w:rFonts w:ascii="Arial" w:hAnsi="Arial" w:cs="Arial"/>
        </w:rPr>
        <w:t>It is important to make a distinction between a product, the usage of which can be characterised as causing cancer as a result of being used (for example tobacco) and a product, the usage of which can be characterised as resulting in some level of exposure to a carcinogen</w:t>
      </w:r>
      <w:r w:rsidR="004E60DD">
        <w:rPr>
          <w:rFonts w:ascii="Arial" w:hAnsi="Arial" w:cs="Arial"/>
        </w:rPr>
        <w:t xml:space="preserve">. </w:t>
      </w:r>
      <w:r w:rsidR="001313F8">
        <w:rPr>
          <w:rFonts w:ascii="Arial" w:hAnsi="Arial" w:cs="Arial"/>
        </w:rPr>
        <w:t>By w</w:t>
      </w:r>
      <w:r w:rsidRPr="00690F06">
        <w:rPr>
          <w:rFonts w:ascii="Arial" w:hAnsi="Arial" w:cs="Arial"/>
        </w:rPr>
        <w:t xml:space="preserve">earing clothing containing dyes </w:t>
      </w:r>
      <w:r w:rsidR="00491037">
        <w:rPr>
          <w:rFonts w:ascii="Arial" w:hAnsi="Arial" w:cs="Arial"/>
        </w:rPr>
        <w:t>that</w:t>
      </w:r>
      <w:r w:rsidRPr="00690F06">
        <w:rPr>
          <w:rFonts w:ascii="Arial" w:hAnsi="Arial" w:cs="Arial"/>
        </w:rPr>
        <w:t xml:space="preserve"> can </w:t>
      </w:r>
      <w:r w:rsidR="00491037">
        <w:rPr>
          <w:rFonts w:ascii="Arial" w:hAnsi="Arial" w:cs="Arial"/>
        </w:rPr>
        <w:t xml:space="preserve">be </w:t>
      </w:r>
      <w:r w:rsidR="003875F5" w:rsidRPr="00690F06">
        <w:rPr>
          <w:rFonts w:ascii="Arial" w:hAnsi="Arial" w:cs="Arial"/>
        </w:rPr>
        <w:t>metaboli</w:t>
      </w:r>
      <w:r w:rsidR="003875F5">
        <w:rPr>
          <w:rFonts w:ascii="Arial" w:hAnsi="Arial" w:cs="Arial"/>
        </w:rPr>
        <w:t>s</w:t>
      </w:r>
      <w:r w:rsidR="003875F5" w:rsidRPr="00690F06">
        <w:rPr>
          <w:rFonts w:ascii="Arial" w:hAnsi="Arial" w:cs="Arial"/>
        </w:rPr>
        <w:t>e</w:t>
      </w:r>
      <w:r w:rsidR="00491037">
        <w:rPr>
          <w:rFonts w:ascii="Arial" w:hAnsi="Arial" w:cs="Arial"/>
        </w:rPr>
        <w:t>d or reduced</w:t>
      </w:r>
      <w:r w:rsidR="003875F5" w:rsidRPr="00690F06">
        <w:rPr>
          <w:rFonts w:ascii="Arial" w:hAnsi="Arial" w:cs="Arial"/>
        </w:rPr>
        <w:t xml:space="preserve"> </w:t>
      </w:r>
      <w:r w:rsidRPr="00690F06">
        <w:rPr>
          <w:rFonts w:ascii="Arial" w:hAnsi="Arial" w:cs="Arial"/>
        </w:rPr>
        <w:t xml:space="preserve">to benzidine is an example of consumers </w:t>
      </w:r>
      <w:r w:rsidR="00316A7E">
        <w:rPr>
          <w:rFonts w:ascii="Arial" w:hAnsi="Arial" w:cs="Arial"/>
        </w:rPr>
        <w:t>being</w:t>
      </w:r>
      <w:r w:rsidRPr="00690F06">
        <w:rPr>
          <w:rFonts w:ascii="Arial" w:hAnsi="Arial" w:cs="Arial"/>
        </w:rPr>
        <w:t xml:space="preserve"> exposed to a carcinogen. Studies have shown that </w:t>
      </w:r>
      <w:r w:rsidR="00316A7E">
        <w:rPr>
          <w:rFonts w:ascii="Arial" w:hAnsi="Arial" w:cs="Arial"/>
        </w:rPr>
        <w:t xml:space="preserve">consumers can be exposed to carcinogens when </w:t>
      </w:r>
      <w:r w:rsidRPr="00690F06">
        <w:rPr>
          <w:rFonts w:ascii="Arial" w:hAnsi="Arial" w:cs="Arial"/>
        </w:rPr>
        <w:t xml:space="preserve">aromatic amines, including benzidine, migrate from direct and prolonged contact articles </w:t>
      </w:r>
      <w:r w:rsidR="00316A7E">
        <w:rPr>
          <w:rFonts w:ascii="Arial" w:hAnsi="Arial" w:cs="Arial"/>
        </w:rPr>
        <w:t xml:space="preserve">and are </w:t>
      </w:r>
      <w:r w:rsidRPr="00690F06">
        <w:rPr>
          <w:rFonts w:ascii="Arial" w:hAnsi="Arial" w:cs="Arial"/>
        </w:rPr>
        <w:t xml:space="preserve">absorbed through the skin. </w:t>
      </w:r>
    </w:p>
    <w:p w:rsidR="00EF1EA3" w:rsidRPr="00690F06" w:rsidRDefault="00EF1EA3" w:rsidP="00EF1EA3">
      <w:pPr>
        <w:spacing w:after="240"/>
        <w:rPr>
          <w:rFonts w:ascii="Arial" w:hAnsi="Arial" w:cs="Arial"/>
        </w:rPr>
      </w:pPr>
      <w:r w:rsidRPr="00690F06">
        <w:rPr>
          <w:rFonts w:ascii="Arial" w:hAnsi="Arial" w:cs="Arial"/>
        </w:rPr>
        <w:t>The European Scientific Co</w:t>
      </w:r>
      <w:r w:rsidR="00DB7718">
        <w:rPr>
          <w:rFonts w:ascii="Arial" w:hAnsi="Arial" w:cs="Arial"/>
        </w:rPr>
        <w:t xml:space="preserve">mmittee on Toxicity, </w:t>
      </w:r>
      <w:proofErr w:type="spellStart"/>
      <w:r w:rsidR="00DB7718">
        <w:rPr>
          <w:rFonts w:ascii="Arial" w:hAnsi="Arial" w:cs="Arial"/>
        </w:rPr>
        <w:t>Ecotoxicity</w:t>
      </w:r>
      <w:proofErr w:type="spellEnd"/>
      <w:r w:rsidRPr="00690F06">
        <w:rPr>
          <w:rFonts w:ascii="Arial" w:hAnsi="Arial" w:cs="Arial"/>
        </w:rPr>
        <w:t xml:space="preserve">, and Environment (CSTEE) has </w:t>
      </w:r>
      <w:r w:rsidR="00E32B6F" w:rsidRPr="00690F06">
        <w:rPr>
          <w:rFonts w:ascii="Arial" w:hAnsi="Arial" w:cs="Arial"/>
        </w:rPr>
        <w:t>co</w:t>
      </w:r>
      <w:r w:rsidR="00E32B6F">
        <w:rPr>
          <w:rFonts w:ascii="Arial" w:hAnsi="Arial" w:cs="Arial"/>
        </w:rPr>
        <w:t xml:space="preserve">mpleted </w:t>
      </w:r>
      <w:r w:rsidRPr="00690F06">
        <w:rPr>
          <w:rFonts w:ascii="Arial" w:hAnsi="Arial" w:cs="Arial"/>
        </w:rPr>
        <w:t>a multinational assessment of the risk of cancer caused by articles coloured with certain azo dyes (including benzidine-based dyes). The conclusion was that while consumer exposure is likely to be very low, the associated cancer risks give cause for concern. As a result, exposure to certain azo dyes, including benzidine-based dyes, should be minimised or eliminated,</w:t>
      </w:r>
      <w:r w:rsidRPr="00690F06">
        <w:rPr>
          <w:rStyle w:val="FootnoteReference"/>
          <w:rFonts w:ascii="Arial" w:hAnsi="Arial" w:cs="Arial"/>
        </w:rPr>
        <w:footnoteReference w:id="11"/>
      </w:r>
      <w:r w:rsidRPr="00690F06">
        <w:rPr>
          <w:rFonts w:ascii="Arial" w:hAnsi="Arial" w:cs="Arial"/>
        </w:rPr>
        <w:t xml:space="preserve"> which avoids unnecessarily heightening the cumulative risk of cancer in any individual circumstance. Avoiding any increase of cumulative risk, especially through avoidable exposure, remains relevant even though there is no specific evidence available to the ACCC that exposure to aromatic amines through this mechanism specifically or directly causes cancer. This also means that there is no quantifiable cancer burden in the population </w:t>
      </w:r>
      <w:r w:rsidRPr="003315EA">
        <w:rPr>
          <w:rFonts w:ascii="Arial" w:hAnsi="Arial" w:cs="Arial"/>
          <w:i/>
        </w:rPr>
        <w:t>definitively attributable</w:t>
      </w:r>
      <w:r w:rsidRPr="00690F06">
        <w:rPr>
          <w:rFonts w:ascii="Arial" w:hAnsi="Arial" w:cs="Arial"/>
        </w:rPr>
        <w:t xml:space="preserve"> to this source of exposure.</w:t>
      </w:r>
    </w:p>
    <w:p w:rsidR="00EF1EA3" w:rsidRPr="00690F06" w:rsidRDefault="00E32B6F" w:rsidP="00EF1EA3">
      <w:pPr>
        <w:spacing w:after="240"/>
        <w:rPr>
          <w:rFonts w:ascii="Arial" w:hAnsi="Arial" w:cs="Arial"/>
        </w:rPr>
      </w:pPr>
      <w:r w:rsidRPr="00690F06">
        <w:rPr>
          <w:rFonts w:ascii="Arial" w:hAnsi="Arial" w:cs="Arial"/>
        </w:rPr>
        <w:t>Whil</w:t>
      </w:r>
      <w:r>
        <w:rPr>
          <w:rFonts w:ascii="Arial" w:hAnsi="Arial" w:cs="Arial"/>
        </w:rPr>
        <w:t>e</w:t>
      </w:r>
      <w:r w:rsidRPr="00690F06">
        <w:rPr>
          <w:rFonts w:ascii="Arial" w:hAnsi="Arial" w:cs="Arial"/>
        </w:rPr>
        <w:t xml:space="preserve"> </w:t>
      </w:r>
      <w:r w:rsidR="00EF1EA3" w:rsidRPr="00690F06">
        <w:rPr>
          <w:rFonts w:ascii="Arial" w:hAnsi="Arial" w:cs="Arial"/>
        </w:rPr>
        <w:t>the very low levels of involuntary exposure to hazardous aromatic amines from these articles may give rise to a correspondingly very small increased risk of cancer, the increased risk cannot realistically be quantified. The absence of strong data sets would necessarily lead to estimation involving many assumptions and</w:t>
      </w:r>
      <w:r w:rsidR="00491037">
        <w:rPr>
          <w:rFonts w:ascii="Arial" w:hAnsi="Arial" w:cs="Arial"/>
        </w:rPr>
        <w:t xml:space="preserve"> estimates of variables such as</w:t>
      </w:r>
      <w:r w:rsidR="00EF1EA3" w:rsidRPr="00690F06">
        <w:rPr>
          <w:rFonts w:ascii="Arial" w:hAnsi="Arial" w:cs="Arial"/>
        </w:rPr>
        <w:t xml:space="preserve"> the dye concentration in articles, rate of reduction of dyes to aromatic amines, dermal absorption efficiency and the area and duration of skin contact. These uncertainties are likely to lead to debate over the quantum of risk rather than focusing on the involuntary consumer exposure to these compounds being unnecessary and needing to be minimised or avoided. Minimising or avoiding unnecessary exposure to carcinogens is well supported by cancer experts.</w:t>
      </w:r>
    </w:p>
    <w:p w:rsidR="00EF1EA3" w:rsidRPr="00690F06" w:rsidRDefault="00EF1EA3" w:rsidP="00EF1EA3">
      <w:pPr>
        <w:spacing w:after="240"/>
        <w:rPr>
          <w:rFonts w:ascii="Arial" w:hAnsi="Arial" w:cs="Arial"/>
        </w:rPr>
      </w:pPr>
      <w:r w:rsidRPr="00690F06">
        <w:rPr>
          <w:rFonts w:ascii="Arial" w:hAnsi="Arial" w:cs="Arial"/>
        </w:rPr>
        <w:t xml:space="preserve">Critical health effects for </w:t>
      </w:r>
      <w:r w:rsidR="00E32B6F" w:rsidRPr="00690F06">
        <w:rPr>
          <w:rFonts w:ascii="Arial" w:hAnsi="Arial" w:cs="Arial"/>
        </w:rPr>
        <w:t>11</w:t>
      </w:r>
      <w:r w:rsidR="00E32B6F">
        <w:rPr>
          <w:rFonts w:ascii="Arial" w:hAnsi="Arial" w:cs="Arial"/>
        </w:rPr>
        <w:t> </w:t>
      </w:r>
      <w:r w:rsidRPr="00690F06">
        <w:rPr>
          <w:rFonts w:ascii="Arial" w:hAnsi="Arial" w:cs="Arial"/>
        </w:rPr>
        <w:t>benzidine-based dyes include systemic long term effects including carcinogenicity, reproductive toxicity and developmental toxicity.</w:t>
      </w:r>
      <w:r w:rsidRPr="00690F06">
        <w:rPr>
          <w:rStyle w:val="FootnoteReference"/>
          <w:rFonts w:ascii="Arial" w:hAnsi="Arial" w:cs="Arial"/>
        </w:rPr>
        <w:footnoteReference w:id="12"/>
      </w:r>
      <w:r w:rsidRPr="00690F06">
        <w:rPr>
          <w:rFonts w:ascii="Arial" w:hAnsi="Arial" w:cs="Arial"/>
        </w:rPr>
        <w:t xml:space="preserve"> In their report NICNAS recommended that the ACCC “</w:t>
      </w:r>
      <w:r w:rsidRPr="00690F06">
        <w:rPr>
          <w:rFonts w:ascii="Arial" w:hAnsi="Arial" w:cs="Arial"/>
          <w:i/>
        </w:rPr>
        <w:t xml:space="preserve">consider mechanisms to restrict the supply of textiles and leather articles which may come into direct and prolonged contact with the human </w:t>
      </w:r>
      <w:proofErr w:type="gramStart"/>
      <w:r w:rsidRPr="00690F06">
        <w:rPr>
          <w:rFonts w:ascii="Arial" w:hAnsi="Arial" w:cs="Arial"/>
          <w:i/>
        </w:rPr>
        <w:t>skin, that</w:t>
      </w:r>
      <w:proofErr w:type="gramEnd"/>
      <w:r w:rsidRPr="00690F06">
        <w:rPr>
          <w:rFonts w:ascii="Arial" w:hAnsi="Arial" w:cs="Arial"/>
          <w:i/>
        </w:rPr>
        <w:t xml:space="preserve"> may plausibly result in human exposure to these chemicals at unacceptable concentrations</w:t>
      </w:r>
      <w:r w:rsidRPr="00690F06">
        <w:rPr>
          <w:rFonts w:ascii="Arial" w:hAnsi="Arial" w:cs="Arial"/>
        </w:rPr>
        <w:t>”.</w:t>
      </w:r>
      <w:r w:rsidRPr="00690F06">
        <w:rPr>
          <w:rStyle w:val="FootnoteReference"/>
          <w:rFonts w:ascii="Arial" w:hAnsi="Arial" w:cs="Arial"/>
        </w:rPr>
        <w:footnoteReference w:id="13"/>
      </w:r>
      <w:r w:rsidRPr="00690F06">
        <w:rPr>
          <w:rFonts w:ascii="Arial" w:hAnsi="Arial" w:cs="Arial"/>
        </w:rPr>
        <w:t xml:space="preserve"> </w:t>
      </w:r>
    </w:p>
    <w:p w:rsidR="00E95200" w:rsidRPr="00690F06" w:rsidRDefault="00E95200" w:rsidP="00E95200">
      <w:pPr>
        <w:keepNext/>
        <w:spacing w:after="240"/>
        <w:rPr>
          <w:rFonts w:ascii="Arial" w:hAnsi="Arial" w:cs="Arial"/>
          <w:b/>
        </w:rPr>
      </w:pPr>
      <w:r w:rsidRPr="00690F06">
        <w:rPr>
          <w:rFonts w:ascii="Arial" w:hAnsi="Arial" w:cs="Arial"/>
          <w:b/>
        </w:rPr>
        <w:lastRenderedPageBreak/>
        <w:t>The impacts of cancer</w:t>
      </w:r>
    </w:p>
    <w:p w:rsidR="00E95200" w:rsidRPr="00690F06" w:rsidRDefault="00E95200" w:rsidP="00E95200">
      <w:pPr>
        <w:spacing w:after="240"/>
        <w:rPr>
          <w:rFonts w:ascii="Arial" w:hAnsi="Arial" w:cs="Arial"/>
        </w:rPr>
      </w:pPr>
      <w:r w:rsidRPr="00690F06">
        <w:rPr>
          <w:rFonts w:ascii="Arial" w:hAnsi="Arial" w:cs="Arial"/>
          <w:color w:val="000000"/>
        </w:rPr>
        <w:t xml:space="preserve">There is significant global concern about exposure to carcinogens and the cumulative risk of cancer. </w:t>
      </w:r>
      <w:r w:rsidRPr="00690F06">
        <w:rPr>
          <w:rFonts w:ascii="Arial" w:hAnsi="Arial" w:cs="Arial"/>
        </w:rPr>
        <w:t>Even a small increased risk of cancer to individual consumers and the population as a whole is undesirable if that increased risk comes with no appreciable benefit and is avoidable. Should a small increased risk of cancer translate to a small additional number of cancer cases in the community</w:t>
      </w:r>
      <w:r w:rsidR="00491037">
        <w:rPr>
          <w:rFonts w:ascii="Arial" w:hAnsi="Arial" w:cs="Arial"/>
        </w:rPr>
        <w:t>,</w:t>
      </w:r>
      <w:r w:rsidRPr="00690F06">
        <w:rPr>
          <w:rFonts w:ascii="Arial" w:hAnsi="Arial" w:cs="Arial"/>
        </w:rPr>
        <w:t xml:space="preserve"> then there are clearly dir</w:t>
      </w:r>
      <w:r w:rsidR="00491037">
        <w:rPr>
          <w:rFonts w:ascii="Arial" w:hAnsi="Arial" w:cs="Arial"/>
        </w:rPr>
        <w:t>ect and intense adverse impacts,</w:t>
      </w:r>
      <w:r w:rsidRPr="00690F06">
        <w:rPr>
          <w:rFonts w:ascii="Arial" w:hAnsi="Arial" w:cs="Arial"/>
        </w:rPr>
        <w:t xml:space="preserve"> and additional costs to those individuals </w:t>
      </w:r>
      <w:r w:rsidR="00491037">
        <w:rPr>
          <w:rFonts w:ascii="Arial" w:hAnsi="Arial" w:cs="Arial"/>
        </w:rPr>
        <w:t>and</w:t>
      </w:r>
      <w:r w:rsidR="00B41432">
        <w:rPr>
          <w:rFonts w:ascii="Arial" w:hAnsi="Arial" w:cs="Arial"/>
        </w:rPr>
        <w:t xml:space="preserve"> the community.</w:t>
      </w:r>
    </w:p>
    <w:p w:rsidR="00E95200" w:rsidRPr="00690F06" w:rsidRDefault="00E95200" w:rsidP="00E95200">
      <w:pPr>
        <w:spacing w:after="240"/>
        <w:rPr>
          <w:rFonts w:ascii="Arial" w:hAnsi="Arial" w:cs="Arial"/>
        </w:rPr>
      </w:pPr>
      <w:r w:rsidRPr="00690F06">
        <w:rPr>
          <w:rFonts w:ascii="Arial" w:hAnsi="Arial" w:cs="Arial"/>
        </w:rPr>
        <w:t>According to 2010-11 statistics published by the Cancer Council Australia, cancer costs more than</w:t>
      </w:r>
      <w:r>
        <w:rPr>
          <w:rFonts w:ascii="Arial" w:hAnsi="Arial" w:cs="Arial"/>
        </w:rPr>
        <w:t> </w:t>
      </w:r>
      <w:r w:rsidRPr="00690F06">
        <w:rPr>
          <w:rFonts w:ascii="Arial" w:hAnsi="Arial" w:cs="Arial"/>
        </w:rPr>
        <w:t xml:space="preserve">$3.8 billion in direct health care costs in Australia. This equates to 7.2 per cent of </w:t>
      </w:r>
      <w:r>
        <w:rPr>
          <w:rFonts w:ascii="Arial" w:hAnsi="Arial" w:cs="Arial"/>
        </w:rPr>
        <w:t xml:space="preserve">the </w:t>
      </w:r>
      <w:r w:rsidRPr="00690F06">
        <w:rPr>
          <w:rFonts w:ascii="Arial" w:hAnsi="Arial" w:cs="Arial"/>
        </w:rPr>
        <w:t xml:space="preserve">overall </w:t>
      </w:r>
      <w:r>
        <w:rPr>
          <w:rFonts w:ascii="Arial" w:hAnsi="Arial" w:cs="Arial"/>
        </w:rPr>
        <w:t xml:space="preserve">cost of the </w:t>
      </w:r>
      <w:r w:rsidRPr="00690F06">
        <w:rPr>
          <w:rFonts w:ascii="Arial" w:hAnsi="Arial" w:cs="Arial"/>
        </w:rPr>
        <w:t>health system.</w:t>
      </w:r>
      <w:r w:rsidRPr="00690F06">
        <w:rPr>
          <w:rFonts w:ascii="Arial" w:hAnsi="Arial" w:cs="Arial"/>
          <w:vertAlign w:val="superscript"/>
        </w:rPr>
        <w:footnoteReference w:id="14"/>
      </w:r>
    </w:p>
    <w:p w:rsidR="00E95200" w:rsidRPr="00690F06" w:rsidRDefault="00E95200" w:rsidP="00E95200">
      <w:pPr>
        <w:spacing w:after="240"/>
        <w:rPr>
          <w:rFonts w:ascii="Arial" w:hAnsi="Arial" w:cs="Arial"/>
        </w:rPr>
      </w:pPr>
      <w:r w:rsidRPr="00690F06">
        <w:rPr>
          <w:rFonts w:ascii="Arial" w:hAnsi="Arial" w:cs="Arial"/>
        </w:rPr>
        <w:t xml:space="preserve">The Cancer Council of NSW commissioned Access Economics to compile an independent report to determine the true cost of cancer to affected individuals, their families and </w:t>
      </w:r>
      <w:r w:rsidR="00491037">
        <w:rPr>
          <w:rFonts w:ascii="Arial" w:hAnsi="Arial" w:cs="Arial"/>
        </w:rPr>
        <w:t>the community</w:t>
      </w:r>
      <w:r w:rsidRPr="00690F06">
        <w:rPr>
          <w:rFonts w:ascii="Arial" w:hAnsi="Arial" w:cs="Arial"/>
        </w:rPr>
        <w:t xml:space="preserve">. Access Economics considered the costs in terms of the financial costs to individuals, family/friends, federal and state government, employers and </w:t>
      </w:r>
      <w:r w:rsidR="00491037">
        <w:rPr>
          <w:rFonts w:ascii="Arial" w:hAnsi="Arial" w:cs="Arial"/>
        </w:rPr>
        <w:t>the community</w:t>
      </w:r>
      <w:r w:rsidR="00BF1452">
        <w:rPr>
          <w:rFonts w:ascii="Arial" w:hAnsi="Arial" w:cs="Arial"/>
        </w:rPr>
        <w:t>,</w:t>
      </w:r>
      <w:r w:rsidRPr="00690F06">
        <w:rPr>
          <w:rFonts w:ascii="Arial" w:hAnsi="Arial" w:cs="Arial"/>
        </w:rPr>
        <w:t xml:space="preserve"> and non-financial costs known as the burden of disease which include the pain, suffering and premature death that result from cancer.</w:t>
      </w:r>
      <w:r w:rsidRPr="00690F06">
        <w:rPr>
          <w:rFonts w:ascii="Arial" w:hAnsi="Arial" w:cs="Arial"/>
          <w:vertAlign w:val="superscript"/>
        </w:rPr>
        <w:footnoteReference w:id="15"/>
      </w:r>
      <w:r w:rsidRPr="00690F06">
        <w:rPr>
          <w:rFonts w:ascii="Arial" w:hAnsi="Arial" w:cs="Arial"/>
        </w:rPr>
        <w:t xml:space="preserve"> Together, financial costs and the burden of disease make up the economic cost of cancer. </w:t>
      </w:r>
    </w:p>
    <w:p w:rsidR="00E95200" w:rsidRDefault="00E95200" w:rsidP="00E95200">
      <w:pPr>
        <w:spacing w:after="240"/>
        <w:rPr>
          <w:rFonts w:ascii="Arial" w:hAnsi="Arial" w:cs="Arial"/>
        </w:rPr>
      </w:pPr>
      <w:r w:rsidRPr="00690F06">
        <w:rPr>
          <w:rFonts w:ascii="Arial" w:hAnsi="Arial" w:cs="Arial"/>
        </w:rPr>
        <w:t xml:space="preserve">Access Economics found the most costly cancers in terms of economic burden were lung, colorectal, breast, stomach, liver and pancreatic cancer while the least costly were bladder, kidney and brain cancer. Bladder cancer has been associated with exposure to benzidine. The total cost of bladder cancer and an average of the total cost of all cancers are provided in </w:t>
      </w:r>
      <w:r w:rsidRPr="00B7209D">
        <w:rPr>
          <w:rFonts w:ascii="Arial" w:hAnsi="Arial" w:cs="Arial"/>
        </w:rPr>
        <w:t>Attachment </w:t>
      </w:r>
      <w:r w:rsidR="005C15F3" w:rsidRPr="00B7209D">
        <w:rPr>
          <w:rFonts w:ascii="Arial" w:hAnsi="Arial" w:cs="Arial"/>
        </w:rPr>
        <w:t>3</w:t>
      </w:r>
      <w:r w:rsidRPr="00690F06">
        <w:rPr>
          <w:rFonts w:ascii="Arial" w:hAnsi="Arial" w:cs="Arial"/>
        </w:rPr>
        <w:t xml:space="preserve">. The total lifetime economic cost of bladder cancer calculated by Access Economics in 2005 dollars was $813 500. When this figure is escalated to 2014 dollars using relevant CPI data, the total lifetime economic cost of bladder cancer is estimated to be a little over $1.0 million per </w:t>
      </w:r>
      <w:r>
        <w:rPr>
          <w:rFonts w:ascii="Arial" w:hAnsi="Arial" w:cs="Arial"/>
        </w:rPr>
        <w:t>case of cancer</w:t>
      </w:r>
      <w:r w:rsidRPr="00690F06">
        <w:rPr>
          <w:rFonts w:ascii="Arial" w:hAnsi="Arial" w:cs="Arial"/>
        </w:rPr>
        <w:t xml:space="preserve">. This figure includes the value of the burden of disease and total financial costs and therefore represents the </w:t>
      </w:r>
      <w:r w:rsidR="007E5EEB">
        <w:rPr>
          <w:rFonts w:ascii="Arial" w:hAnsi="Arial" w:cs="Arial"/>
        </w:rPr>
        <w:t>economic cost of cancer</w:t>
      </w:r>
      <w:r w:rsidRPr="00690F06">
        <w:rPr>
          <w:rFonts w:ascii="Arial" w:hAnsi="Arial" w:cs="Arial"/>
        </w:rPr>
        <w:t xml:space="preserve">. Further information about the cost of exposure to benzidine-based dyes is available in </w:t>
      </w:r>
      <w:r w:rsidRPr="00B7209D">
        <w:rPr>
          <w:rFonts w:ascii="Arial" w:hAnsi="Arial" w:cs="Arial"/>
        </w:rPr>
        <w:t>Attachment </w:t>
      </w:r>
      <w:r w:rsidR="005C15F3" w:rsidRPr="00B7209D">
        <w:rPr>
          <w:rFonts w:ascii="Arial" w:hAnsi="Arial" w:cs="Arial"/>
        </w:rPr>
        <w:t>3</w:t>
      </w:r>
      <w:r w:rsidRPr="00690F06">
        <w:rPr>
          <w:rFonts w:ascii="Arial" w:hAnsi="Arial" w:cs="Arial"/>
        </w:rPr>
        <w:t>.</w:t>
      </w:r>
    </w:p>
    <w:p w:rsidR="00FA7CBB" w:rsidRDefault="00FA7CBB" w:rsidP="00EF1EA3">
      <w:pPr>
        <w:keepNext/>
        <w:spacing w:before="240" w:after="240"/>
        <w:rPr>
          <w:rFonts w:ascii="Arial" w:hAnsi="Arial" w:cs="Arial"/>
          <w:b/>
        </w:rPr>
      </w:pPr>
      <w:r>
        <w:rPr>
          <w:rFonts w:ascii="Arial" w:hAnsi="Arial" w:cs="Arial"/>
          <w:b/>
        </w:rPr>
        <w:t>The market failure</w:t>
      </w:r>
    </w:p>
    <w:p w:rsidR="008A4C9F" w:rsidRDefault="006C7C7E" w:rsidP="00907FC3">
      <w:pPr>
        <w:spacing w:after="240"/>
        <w:rPr>
          <w:rFonts w:ascii="Arial" w:hAnsi="Arial" w:cs="Arial"/>
        </w:rPr>
      </w:pPr>
      <w:r w:rsidRPr="00690F06">
        <w:rPr>
          <w:rFonts w:ascii="Arial" w:hAnsi="Arial" w:cs="Arial"/>
          <w:lang w:eastAsia="en-AU"/>
        </w:rPr>
        <w:t xml:space="preserve">The textiles sector produces clothing and other textiles </w:t>
      </w:r>
      <w:r w:rsidR="00DB7718">
        <w:rPr>
          <w:rFonts w:ascii="Arial" w:hAnsi="Arial" w:cs="Arial"/>
          <w:lang w:eastAsia="en-AU"/>
        </w:rPr>
        <w:t>that</w:t>
      </w:r>
      <w:r w:rsidRPr="00690F06">
        <w:rPr>
          <w:rFonts w:ascii="Arial" w:hAnsi="Arial" w:cs="Arial"/>
          <w:lang w:eastAsia="en-AU"/>
        </w:rPr>
        <w:t xml:space="preserve"> almost </w:t>
      </w:r>
      <w:r>
        <w:rPr>
          <w:rFonts w:ascii="Arial" w:hAnsi="Arial" w:cs="Arial"/>
          <w:lang w:eastAsia="en-AU"/>
        </w:rPr>
        <w:t>all consumers</w:t>
      </w:r>
      <w:r w:rsidRPr="00690F06">
        <w:rPr>
          <w:rFonts w:ascii="Arial" w:hAnsi="Arial" w:cs="Arial"/>
          <w:lang w:eastAsia="en-AU"/>
        </w:rPr>
        <w:t xml:space="preserve"> come into contact with.</w:t>
      </w:r>
      <w:r>
        <w:rPr>
          <w:rFonts w:ascii="Arial" w:hAnsi="Arial" w:cs="Arial"/>
          <w:lang w:eastAsia="en-AU"/>
        </w:rPr>
        <w:t xml:space="preserve"> However, s</w:t>
      </w:r>
      <w:r w:rsidR="00E95200" w:rsidRPr="00690F06">
        <w:rPr>
          <w:rFonts w:ascii="Arial" w:hAnsi="Arial" w:cs="Arial"/>
        </w:rPr>
        <w:t>ignificant negative externalities</w:t>
      </w:r>
      <w:r w:rsidR="00E95200" w:rsidRPr="00690F06">
        <w:rPr>
          <w:rStyle w:val="FootnoteReference"/>
          <w:rFonts w:ascii="Arial" w:hAnsi="Arial" w:cs="Arial"/>
        </w:rPr>
        <w:footnoteReference w:id="16"/>
      </w:r>
      <w:r w:rsidR="00E95200" w:rsidRPr="00690F06">
        <w:rPr>
          <w:rFonts w:ascii="Arial" w:hAnsi="Arial" w:cs="Arial"/>
        </w:rPr>
        <w:t xml:space="preserve"> and information asymmetries exist </w:t>
      </w:r>
      <w:r>
        <w:rPr>
          <w:rFonts w:ascii="Arial" w:hAnsi="Arial" w:cs="Arial"/>
        </w:rPr>
        <w:t>in relation to</w:t>
      </w:r>
      <w:r w:rsidR="00E95200" w:rsidRPr="00690F06">
        <w:rPr>
          <w:rFonts w:ascii="Arial" w:hAnsi="Arial" w:cs="Arial"/>
        </w:rPr>
        <w:t xml:space="preserve"> the risks associated with hazardous chemicals </w:t>
      </w:r>
      <w:r>
        <w:rPr>
          <w:rFonts w:ascii="Arial" w:hAnsi="Arial" w:cs="Arial"/>
        </w:rPr>
        <w:t>in clothing and textile products</w:t>
      </w:r>
      <w:r w:rsidR="003C1C2B">
        <w:rPr>
          <w:rFonts w:ascii="Arial" w:hAnsi="Arial" w:cs="Arial"/>
        </w:rPr>
        <w:t>. In this case</w:t>
      </w:r>
      <w:r w:rsidR="007860AB">
        <w:rPr>
          <w:rFonts w:ascii="Arial" w:hAnsi="Arial" w:cs="Arial"/>
        </w:rPr>
        <w:t xml:space="preserve"> consumers are unable to </w:t>
      </w:r>
      <w:r w:rsidR="00907FC3" w:rsidRPr="00690F06">
        <w:rPr>
          <w:rFonts w:ascii="Arial" w:hAnsi="Arial" w:cs="Arial"/>
        </w:rPr>
        <w:t xml:space="preserve">determine if </w:t>
      </w:r>
      <w:r w:rsidR="00907FC3">
        <w:rPr>
          <w:rFonts w:ascii="Arial" w:hAnsi="Arial" w:cs="Arial"/>
        </w:rPr>
        <w:t xml:space="preserve">coloured </w:t>
      </w:r>
      <w:r w:rsidR="00907FC3" w:rsidRPr="00690F06">
        <w:rPr>
          <w:rFonts w:ascii="Arial" w:hAnsi="Arial" w:cs="Arial"/>
        </w:rPr>
        <w:t xml:space="preserve">articles </w:t>
      </w:r>
      <w:r w:rsidR="00907FC3">
        <w:rPr>
          <w:rFonts w:ascii="Arial" w:hAnsi="Arial" w:cs="Arial"/>
        </w:rPr>
        <w:t>contain</w:t>
      </w:r>
      <w:r w:rsidR="00907FC3" w:rsidRPr="00690F06">
        <w:rPr>
          <w:rFonts w:ascii="Arial" w:hAnsi="Arial" w:cs="Arial"/>
        </w:rPr>
        <w:t xml:space="preserve"> hazardous dyes,</w:t>
      </w:r>
      <w:r w:rsidR="00907FC3">
        <w:rPr>
          <w:rFonts w:ascii="Arial" w:hAnsi="Arial" w:cs="Arial"/>
        </w:rPr>
        <w:t xml:space="preserve"> and</w:t>
      </w:r>
      <w:r w:rsidR="00907FC3" w:rsidRPr="00690F06">
        <w:rPr>
          <w:rFonts w:ascii="Arial" w:hAnsi="Arial" w:cs="Arial"/>
        </w:rPr>
        <w:t xml:space="preserve"> nor can they detect the presence and concentration of hazardous aromatic amines when articles are in contact with skin. </w:t>
      </w:r>
      <w:r w:rsidR="008A4C9F" w:rsidRPr="00690F06">
        <w:rPr>
          <w:rFonts w:ascii="Arial" w:hAnsi="Arial" w:cs="Arial"/>
        </w:rPr>
        <w:t xml:space="preserve">This means consumer exposure is involuntary and </w:t>
      </w:r>
      <w:r w:rsidR="008A4C9F">
        <w:rPr>
          <w:rFonts w:ascii="Arial" w:hAnsi="Arial" w:cs="Arial"/>
        </w:rPr>
        <w:t>consumers</w:t>
      </w:r>
      <w:r w:rsidR="008A4C9F" w:rsidRPr="00690F06">
        <w:rPr>
          <w:rFonts w:ascii="Arial" w:hAnsi="Arial" w:cs="Arial"/>
        </w:rPr>
        <w:t xml:space="preserve"> may be buying goods that they would not </w:t>
      </w:r>
      <w:r w:rsidR="008A4C9F">
        <w:rPr>
          <w:rFonts w:ascii="Arial" w:hAnsi="Arial" w:cs="Arial"/>
        </w:rPr>
        <w:t>buy</w:t>
      </w:r>
      <w:r w:rsidR="008A4C9F" w:rsidRPr="00690F06">
        <w:rPr>
          <w:rFonts w:ascii="Arial" w:hAnsi="Arial" w:cs="Arial"/>
        </w:rPr>
        <w:t xml:space="preserve"> if they were aware of </w:t>
      </w:r>
      <w:r w:rsidR="007E5247">
        <w:rPr>
          <w:rFonts w:ascii="Arial" w:hAnsi="Arial" w:cs="Arial"/>
        </w:rPr>
        <w:t xml:space="preserve">the </w:t>
      </w:r>
      <w:r w:rsidR="008A4C9F" w:rsidRPr="00690F06">
        <w:rPr>
          <w:rFonts w:ascii="Arial" w:hAnsi="Arial" w:cs="Arial"/>
        </w:rPr>
        <w:t>associated hazards.</w:t>
      </w:r>
    </w:p>
    <w:p w:rsidR="001D4A60" w:rsidRDefault="001D4A60" w:rsidP="001D4A60">
      <w:pPr>
        <w:spacing w:after="240"/>
        <w:rPr>
          <w:rFonts w:ascii="Arial" w:hAnsi="Arial" w:cs="Arial"/>
        </w:rPr>
      </w:pPr>
      <w:r w:rsidRPr="009278D5">
        <w:rPr>
          <w:rFonts w:ascii="Arial" w:hAnsi="Arial" w:cs="Arial"/>
          <w:color w:val="000000"/>
        </w:rPr>
        <w:t>Over recent years there has been a</w:t>
      </w:r>
      <w:r>
        <w:rPr>
          <w:rFonts w:ascii="Arial" w:hAnsi="Arial" w:cs="Arial"/>
          <w:color w:val="000000"/>
        </w:rPr>
        <w:t xml:space="preserve"> general increase in</w:t>
      </w:r>
      <w:r w:rsidRPr="009278D5">
        <w:rPr>
          <w:rFonts w:ascii="Arial" w:hAnsi="Arial" w:cs="Arial"/>
          <w:color w:val="000000"/>
        </w:rPr>
        <w:t xml:space="preserve"> </w:t>
      </w:r>
      <w:r>
        <w:rPr>
          <w:rFonts w:ascii="Arial" w:hAnsi="Arial" w:cs="Arial"/>
          <w:color w:val="000000"/>
        </w:rPr>
        <w:t xml:space="preserve">consumer awareness and concern in relation to </w:t>
      </w:r>
      <w:r w:rsidRPr="009278D5">
        <w:rPr>
          <w:rFonts w:ascii="Arial" w:hAnsi="Arial" w:cs="Arial"/>
          <w:color w:val="000000"/>
        </w:rPr>
        <w:t>chemicals used in the textiles sector and the possible harm they may cause</w:t>
      </w:r>
      <w:r>
        <w:rPr>
          <w:rFonts w:ascii="Arial" w:hAnsi="Arial" w:cs="Arial"/>
          <w:color w:val="000000"/>
        </w:rPr>
        <w:t xml:space="preserve">. </w:t>
      </w:r>
    </w:p>
    <w:p w:rsidR="001D4A60" w:rsidRPr="00AB04DF" w:rsidRDefault="001D4A60" w:rsidP="001D4A60">
      <w:pPr>
        <w:spacing w:after="240"/>
        <w:rPr>
          <w:rFonts w:ascii="Arial" w:hAnsi="Arial" w:cs="Arial"/>
        </w:rPr>
      </w:pPr>
      <w:r w:rsidRPr="00690F06">
        <w:rPr>
          <w:rFonts w:ascii="Arial" w:hAnsi="Arial" w:cs="Arial"/>
        </w:rPr>
        <w:lastRenderedPageBreak/>
        <w:t xml:space="preserve">The ACCC’s work on hazardous azo dyes in direct and prolonged contact articles </w:t>
      </w:r>
      <w:r w:rsidR="00A05596">
        <w:rPr>
          <w:rFonts w:ascii="Arial" w:hAnsi="Arial" w:cs="Arial"/>
        </w:rPr>
        <w:t>and the subsequent recalls</w:t>
      </w:r>
      <w:r>
        <w:rPr>
          <w:rFonts w:ascii="Arial" w:hAnsi="Arial" w:cs="Arial"/>
        </w:rPr>
        <w:t xml:space="preserve"> </w:t>
      </w:r>
      <w:r w:rsidRPr="00690F06">
        <w:rPr>
          <w:rFonts w:ascii="Arial" w:hAnsi="Arial" w:cs="Arial"/>
        </w:rPr>
        <w:t xml:space="preserve">drew significant media interest and </w:t>
      </w:r>
      <w:r>
        <w:rPr>
          <w:rFonts w:ascii="Arial" w:hAnsi="Arial" w:cs="Arial"/>
        </w:rPr>
        <w:t>was</w:t>
      </w:r>
      <w:r w:rsidRPr="00690F06">
        <w:rPr>
          <w:rFonts w:ascii="Arial" w:hAnsi="Arial" w:cs="Arial"/>
        </w:rPr>
        <w:t xml:space="preserve"> an issue of community concern.</w:t>
      </w:r>
      <w:r w:rsidR="00A05596">
        <w:rPr>
          <w:rFonts w:ascii="Arial" w:hAnsi="Arial" w:cs="Arial"/>
        </w:rPr>
        <w:t xml:space="preserve"> There were over 50 media articles immediately following the recalls and the ACCC conducted 11 media interviews between March and May 2014.</w:t>
      </w:r>
      <w:r w:rsidRPr="00690F06">
        <w:rPr>
          <w:rFonts w:ascii="Arial" w:hAnsi="Arial" w:cs="Arial"/>
        </w:rPr>
        <w:t xml:space="preserve"> </w:t>
      </w:r>
      <w:r w:rsidR="00A05596">
        <w:rPr>
          <w:rFonts w:ascii="Arial" w:hAnsi="Arial" w:cs="Arial"/>
        </w:rPr>
        <w:t>T</w:t>
      </w:r>
      <w:r>
        <w:rPr>
          <w:rFonts w:ascii="Arial" w:hAnsi="Arial" w:cs="Arial"/>
        </w:rPr>
        <w:t>he ACCC’s call centre received 94 phone calls in relation to the recalls and the hazards associated with certain azo dyes.</w:t>
      </w:r>
      <w:r w:rsidRPr="002368E2">
        <w:rPr>
          <w:rFonts w:ascii="Arial" w:hAnsi="Arial" w:cs="Arial"/>
        </w:rPr>
        <w:t xml:space="preserve"> </w:t>
      </w:r>
      <w:r>
        <w:rPr>
          <w:rFonts w:ascii="Arial" w:hAnsi="Arial" w:cs="Arial"/>
        </w:rPr>
        <w:t xml:space="preserve">It appears consumer confidence in the clothing and textile industry has fallen </w:t>
      </w:r>
      <w:r w:rsidR="007E5247">
        <w:rPr>
          <w:rFonts w:ascii="Arial" w:hAnsi="Arial" w:cs="Arial"/>
        </w:rPr>
        <w:t>since hazardous azo dyes were found in articles.</w:t>
      </w:r>
      <w:r>
        <w:rPr>
          <w:rFonts w:ascii="Arial" w:hAnsi="Arial" w:cs="Arial"/>
        </w:rPr>
        <w:t xml:space="preserve"> </w:t>
      </w:r>
    </w:p>
    <w:p w:rsidR="001D4A60" w:rsidRDefault="001D4A60">
      <w:pPr>
        <w:spacing w:after="240"/>
        <w:rPr>
          <w:rFonts w:ascii="Arial" w:hAnsi="Arial" w:cs="Arial"/>
          <w:color w:val="000000"/>
        </w:rPr>
      </w:pPr>
      <w:r w:rsidRPr="009278D5">
        <w:rPr>
          <w:rFonts w:ascii="Arial" w:hAnsi="Arial" w:cs="Arial"/>
          <w:color w:val="000000"/>
        </w:rPr>
        <w:t>A recent survey by the European Union</w:t>
      </w:r>
      <w:r>
        <w:rPr>
          <w:rStyle w:val="FootnoteReference"/>
          <w:rFonts w:ascii="Arial" w:hAnsi="Arial" w:cs="Arial"/>
          <w:color w:val="000000"/>
        </w:rPr>
        <w:footnoteReference w:id="17"/>
      </w:r>
      <w:r w:rsidRPr="009278D5">
        <w:rPr>
          <w:rFonts w:ascii="Arial" w:hAnsi="Arial" w:cs="Arial"/>
          <w:color w:val="000000"/>
        </w:rPr>
        <w:t xml:space="preserve"> indicated that the majority of consumers believe that it is not possible to completely eliminate chemical substances in daily life</w:t>
      </w:r>
      <w:r w:rsidR="007E5247">
        <w:rPr>
          <w:rFonts w:ascii="Arial" w:hAnsi="Arial" w:cs="Arial"/>
          <w:color w:val="000000"/>
        </w:rPr>
        <w:t>.</w:t>
      </w:r>
      <w:r w:rsidRPr="009278D5">
        <w:rPr>
          <w:rFonts w:ascii="Arial" w:hAnsi="Arial" w:cs="Arial"/>
          <w:color w:val="000000"/>
        </w:rPr>
        <w:t xml:space="preserve"> </w:t>
      </w:r>
      <w:r w:rsidR="007E5247">
        <w:rPr>
          <w:rFonts w:ascii="Arial" w:hAnsi="Arial" w:cs="Arial"/>
          <w:color w:val="000000"/>
        </w:rPr>
        <w:t>O</w:t>
      </w:r>
      <w:r w:rsidRPr="009278D5">
        <w:rPr>
          <w:rFonts w:ascii="Arial" w:hAnsi="Arial" w:cs="Arial"/>
          <w:color w:val="000000"/>
        </w:rPr>
        <w:t>ther European studies</w:t>
      </w:r>
      <w:r>
        <w:rPr>
          <w:rStyle w:val="FootnoteReference"/>
          <w:rFonts w:ascii="Arial" w:hAnsi="Arial" w:cs="Arial"/>
          <w:color w:val="000000"/>
        </w:rPr>
        <w:footnoteReference w:id="18"/>
      </w:r>
      <w:r w:rsidRPr="009278D5">
        <w:rPr>
          <w:rFonts w:ascii="Arial" w:hAnsi="Arial" w:cs="Arial"/>
          <w:color w:val="000000"/>
        </w:rPr>
        <w:t xml:space="preserve"> show that consumer</w:t>
      </w:r>
      <w:r>
        <w:rPr>
          <w:rFonts w:ascii="Arial" w:hAnsi="Arial" w:cs="Arial"/>
          <w:color w:val="000000"/>
        </w:rPr>
        <w:t>s</w:t>
      </w:r>
      <w:r w:rsidRPr="009278D5">
        <w:rPr>
          <w:rFonts w:ascii="Arial" w:hAnsi="Arial" w:cs="Arial"/>
          <w:color w:val="000000"/>
        </w:rPr>
        <w:t xml:space="preserve"> believe that exposure to even a small amount of a hazardous chemical to be potentially harmful. </w:t>
      </w:r>
      <w:r w:rsidRPr="00B7209D">
        <w:rPr>
          <w:rFonts w:ascii="Arial" w:hAnsi="Arial" w:cs="Arial"/>
          <w:color w:val="000000"/>
        </w:rPr>
        <w:t>Attachment </w:t>
      </w:r>
      <w:r w:rsidR="005C15F3" w:rsidRPr="00B7209D">
        <w:rPr>
          <w:rFonts w:ascii="Arial" w:hAnsi="Arial" w:cs="Arial"/>
          <w:color w:val="000000"/>
        </w:rPr>
        <w:t>4</w:t>
      </w:r>
      <w:r w:rsidRPr="009278D5">
        <w:rPr>
          <w:rFonts w:ascii="Arial" w:hAnsi="Arial" w:cs="Arial"/>
          <w:color w:val="000000"/>
        </w:rPr>
        <w:t xml:space="preserve"> includes more details on the use of chemicals and consumers</w:t>
      </w:r>
      <w:r w:rsidR="001313F8">
        <w:rPr>
          <w:rFonts w:ascii="Arial" w:hAnsi="Arial" w:cs="Arial"/>
          <w:color w:val="000000"/>
        </w:rPr>
        <w:t>’</w:t>
      </w:r>
      <w:r w:rsidRPr="009278D5">
        <w:rPr>
          <w:rFonts w:ascii="Arial" w:hAnsi="Arial" w:cs="Arial"/>
          <w:color w:val="000000"/>
        </w:rPr>
        <w:t xml:space="preserve"> concerns about </w:t>
      </w:r>
      <w:r>
        <w:rPr>
          <w:rFonts w:ascii="Arial" w:hAnsi="Arial" w:cs="Arial"/>
          <w:color w:val="000000"/>
        </w:rPr>
        <w:t xml:space="preserve">their safety. </w:t>
      </w:r>
    </w:p>
    <w:p w:rsidR="00907FC3" w:rsidRPr="00690F06" w:rsidRDefault="003E3497" w:rsidP="00907FC3">
      <w:pPr>
        <w:spacing w:after="240"/>
        <w:rPr>
          <w:rFonts w:ascii="Arial" w:hAnsi="Arial" w:cs="Arial"/>
        </w:rPr>
      </w:pPr>
      <w:r>
        <w:rPr>
          <w:rFonts w:ascii="Arial" w:hAnsi="Arial" w:cs="Arial"/>
          <w:color w:val="000000"/>
        </w:rPr>
        <w:t>C</w:t>
      </w:r>
      <w:r w:rsidR="007E5247">
        <w:rPr>
          <w:rFonts w:ascii="Arial" w:hAnsi="Arial" w:cs="Arial"/>
          <w:color w:val="000000"/>
        </w:rPr>
        <w:t xml:space="preserve">onsumers </w:t>
      </w:r>
      <w:r>
        <w:rPr>
          <w:rFonts w:ascii="Arial" w:hAnsi="Arial" w:cs="Arial"/>
          <w:color w:val="000000"/>
        </w:rPr>
        <w:t xml:space="preserve">are </w:t>
      </w:r>
      <w:r w:rsidR="007E5247">
        <w:rPr>
          <w:rFonts w:ascii="Arial" w:hAnsi="Arial" w:cs="Arial"/>
          <w:color w:val="000000"/>
        </w:rPr>
        <w:t>becom</w:t>
      </w:r>
      <w:r>
        <w:rPr>
          <w:rFonts w:ascii="Arial" w:hAnsi="Arial" w:cs="Arial"/>
          <w:color w:val="000000"/>
        </w:rPr>
        <w:t>ing</w:t>
      </w:r>
      <w:r w:rsidR="007E5247">
        <w:rPr>
          <w:rFonts w:ascii="Arial" w:hAnsi="Arial" w:cs="Arial"/>
          <w:color w:val="000000"/>
        </w:rPr>
        <w:t xml:space="preserve"> more aware of, and concerned </w:t>
      </w:r>
      <w:r w:rsidR="00B07DCD">
        <w:rPr>
          <w:rFonts w:ascii="Arial" w:hAnsi="Arial" w:cs="Arial"/>
          <w:color w:val="000000"/>
        </w:rPr>
        <w:t>about</w:t>
      </w:r>
      <w:r w:rsidR="007E5247">
        <w:rPr>
          <w:rFonts w:ascii="Arial" w:hAnsi="Arial" w:cs="Arial"/>
          <w:color w:val="000000"/>
        </w:rPr>
        <w:t xml:space="preserve"> not </w:t>
      </w:r>
      <w:r>
        <w:rPr>
          <w:rFonts w:ascii="Arial" w:hAnsi="Arial" w:cs="Arial"/>
          <w:color w:val="000000"/>
        </w:rPr>
        <w:t xml:space="preserve">being </w:t>
      </w:r>
      <w:r w:rsidR="007E5247">
        <w:rPr>
          <w:rFonts w:ascii="Arial" w:hAnsi="Arial" w:cs="Arial"/>
          <w:color w:val="000000"/>
        </w:rPr>
        <w:t xml:space="preserve">able to identify products containing harmful chemicals and </w:t>
      </w:r>
      <w:r w:rsidR="003C1C2B">
        <w:rPr>
          <w:rFonts w:ascii="Arial" w:hAnsi="Arial" w:cs="Arial"/>
          <w:color w:val="000000"/>
        </w:rPr>
        <w:t xml:space="preserve">not being able to </w:t>
      </w:r>
      <w:r w:rsidR="007E5247">
        <w:rPr>
          <w:rFonts w:ascii="Arial" w:hAnsi="Arial" w:cs="Arial"/>
          <w:color w:val="000000"/>
        </w:rPr>
        <w:t xml:space="preserve">respond by avoiding exposure. </w:t>
      </w:r>
      <w:r w:rsidR="00907FC3" w:rsidRPr="00690F06">
        <w:rPr>
          <w:rFonts w:ascii="Arial" w:hAnsi="Arial" w:cs="Arial"/>
        </w:rPr>
        <w:t>The only way to detect the presence and concentratio</w:t>
      </w:r>
      <w:r w:rsidR="00907FC3">
        <w:rPr>
          <w:rFonts w:ascii="Arial" w:hAnsi="Arial" w:cs="Arial"/>
        </w:rPr>
        <w:t>n</w:t>
      </w:r>
      <w:r w:rsidR="007E5247">
        <w:rPr>
          <w:rFonts w:ascii="Arial" w:hAnsi="Arial" w:cs="Arial"/>
        </w:rPr>
        <w:t xml:space="preserve"> of harmful aromatic amines</w:t>
      </w:r>
      <w:r w:rsidR="00907FC3">
        <w:rPr>
          <w:rFonts w:ascii="Arial" w:hAnsi="Arial" w:cs="Arial"/>
        </w:rPr>
        <w:t xml:space="preserve"> is to conduct product testing</w:t>
      </w:r>
      <w:r w:rsidR="00907FC3" w:rsidRPr="00690F06">
        <w:rPr>
          <w:rFonts w:ascii="Arial" w:hAnsi="Arial" w:cs="Arial"/>
        </w:rPr>
        <w:t xml:space="preserve"> which </w:t>
      </w:r>
      <w:r w:rsidR="00907FC3">
        <w:rPr>
          <w:rFonts w:ascii="Arial" w:hAnsi="Arial" w:cs="Arial"/>
        </w:rPr>
        <w:t>i</w:t>
      </w:r>
      <w:r w:rsidR="00907FC3" w:rsidRPr="00690F06">
        <w:rPr>
          <w:rFonts w:ascii="Arial" w:hAnsi="Arial" w:cs="Arial"/>
        </w:rPr>
        <w:t>nvolv</w:t>
      </w:r>
      <w:r w:rsidR="00907FC3">
        <w:rPr>
          <w:rFonts w:ascii="Arial" w:hAnsi="Arial" w:cs="Arial"/>
        </w:rPr>
        <w:t>es</w:t>
      </w:r>
      <w:r w:rsidR="00907FC3" w:rsidRPr="00690F06">
        <w:rPr>
          <w:rFonts w:ascii="Arial" w:hAnsi="Arial" w:cs="Arial"/>
        </w:rPr>
        <w:t xml:space="preserve"> </w:t>
      </w:r>
      <w:r>
        <w:rPr>
          <w:rFonts w:ascii="Arial" w:hAnsi="Arial" w:cs="Arial"/>
        </w:rPr>
        <w:t xml:space="preserve">the </w:t>
      </w:r>
      <w:r w:rsidR="00907FC3" w:rsidRPr="00690F06">
        <w:rPr>
          <w:rFonts w:ascii="Arial" w:hAnsi="Arial" w:cs="Arial"/>
        </w:rPr>
        <w:t xml:space="preserve">destruction or significant degradation of the product. Information on test methods is provided in </w:t>
      </w:r>
      <w:r w:rsidR="00907FC3" w:rsidRPr="00B7209D">
        <w:rPr>
          <w:rFonts w:ascii="Arial" w:hAnsi="Arial" w:cs="Arial"/>
        </w:rPr>
        <w:t>Attachment </w:t>
      </w:r>
      <w:r w:rsidR="005C15F3" w:rsidRPr="00B7209D">
        <w:rPr>
          <w:rFonts w:ascii="Arial" w:hAnsi="Arial" w:cs="Arial"/>
        </w:rPr>
        <w:t>5</w:t>
      </w:r>
      <w:r w:rsidR="00907FC3" w:rsidRPr="00690F06">
        <w:rPr>
          <w:rFonts w:ascii="Arial" w:hAnsi="Arial" w:cs="Arial"/>
        </w:rPr>
        <w:t>.</w:t>
      </w:r>
      <w:r w:rsidR="00907FC3">
        <w:rPr>
          <w:rFonts w:ascii="Arial" w:hAnsi="Arial" w:cs="Arial"/>
        </w:rPr>
        <w:t xml:space="preserve"> </w:t>
      </w:r>
    </w:p>
    <w:p w:rsidR="00B07DCD" w:rsidRDefault="007860AB" w:rsidP="006C7C7E">
      <w:pPr>
        <w:spacing w:after="240"/>
        <w:rPr>
          <w:rFonts w:ascii="Arial" w:hAnsi="Arial" w:cs="Arial"/>
          <w:color w:val="000000"/>
        </w:rPr>
      </w:pPr>
      <w:r>
        <w:rPr>
          <w:rFonts w:ascii="Arial" w:hAnsi="Arial" w:cs="Arial"/>
        </w:rPr>
        <w:t xml:space="preserve">This </w:t>
      </w:r>
      <w:r w:rsidR="00907FC3">
        <w:rPr>
          <w:rFonts w:ascii="Arial" w:hAnsi="Arial" w:cs="Arial"/>
        </w:rPr>
        <w:t xml:space="preserve">information asymmetry </w:t>
      </w:r>
      <w:r>
        <w:rPr>
          <w:rFonts w:ascii="Arial" w:hAnsi="Arial" w:cs="Arial"/>
        </w:rPr>
        <w:t xml:space="preserve">suggests that </w:t>
      </w:r>
      <w:r w:rsidR="00E95200" w:rsidRPr="00690F06">
        <w:rPr>
          <w:rFonts w:ascii="Arial" w:hAnsi="Arial" w:cs="Arial"/>
          <w:color w:val="000000"/>
        </w:rPr>
        <w:t>intervention</w:t>
      </w:r>
      <w:r w:rsidR="0007515F">
        <w:rPr>
          <w:rFonts w:ascii="Arial" w:hAnsi="Arial" w:cs="Arial"/>
          <w:color w:val="000000"/>
        </w:rPr>
        <w:t xml:space="preserve"> may be required </w:t>
      </w:r>
      <w:r w:rsidR="00B07DCD">
        <w:rPr>
          <w:rFonts w:ascii="Arial" w:hAnsi="Arial" w:cs="Arial"/>
          <w:color w:val="000000"/>
        </w:rPr>
        <w:t>to either:</w:t>
      </w:r>
    </w:p>
    <w:p w:rsidR="0007515F" w:rsidRPr="0007515F" w:rsidRDefault="00B07DCD" w:rsidP="0007515F">
      <w:pPr>
        <w:numPr>
          <w:ilvl w:val="0"/>
          <w:numId w:val="46"/>
        </w:numPr>
        <w:spacing w:after="240"/>
        <w:ind w:left="567" w:hanging="567"/>
        <w:rPr>
          <w:rFonts w:ascii="Arial" w:hAnsi="Arial" w:cs="Arial"/>
        </w:rPr>
      </w:pPr>
      <w:r w:rsidRPr="0007515F">
        <w:rPr>
          <w:rFonts w:ascii="Arial" w:hAnsi="Arial" w:cs="Arial"/>
        </w:rPr>
        <w:t>remove the hazard from the goods</w:t>
      </w:r>
      <w:r w:rsidR="0007515F" w:rsidRPr="0007515F">
        <w:rPr>
          <w:rFonts w:ascii="Arial" w:hAnsi="Arial" w:cs="Arial"/>
        </w:rPr>
        <w:t xml:space="preserve"> to prevent </w:t>
      </w:r>
      <w:r w:rsidR="0007515F">
        <w:rPr>
          <w:rFonts w:ascii="Arial" w:hAnsi="Arial" w:cs="Arial"/>
        </w:rPr>
        <w:t xml:space="preserve">consumer </w:t>
      </w:r>
      <w:r w:rsidR="0007515F" w:rsidRPr="0007515F">
        <w:rPr>
          <w:rFonts w:ascii="Arial" w:hAnsi="Arial" w:cs="Arial"/>
        </w:rPr>
        <w:t>exposure</w:t>
      </w:r>
      <w:r w:rsidR="008B0121">
        <w:rPr>
          <w:rFonts w:ascii="Arial" w:hAnsi="Arial" w:cs="Arial"/>
        </w:rPr>
        <w:t xml:space="preserve"> </w:t>
      </w:r>
    </w:p>
    <w:p w:rsidR="0007515F" w:rsidRDefault="00B07DCD" w:rsidP="006C7C7E">
      <w:pPr>
        <w:numPr>
          <w:ilvl w:val="0"/>
          <w:numId w:val="46"/>
        </w:numPr>
        <w:spacing w:after="240"/>
        <w:ind w:left="567" w:hanging="567"/>
        <w:rPr>
          <w:rFonts w:ascii="Arial" w:hAnsi="Arial" w:cs="Arial"/>
        </w:rPr>
      </w:pPr>
      <w:proofErr w:type="gramStart"/>
      <w:r w:rsidRPr="0007515F">
        <w:rPr>
          <w:rFonts w:ascii="Arial" w:hAnsi="Arial" w:cs="Arial"/>
        </w:rPr>
        <w:t>ensure</w:t>
      </w:r>
      <w:proofErr w:type="gramEnd"/>
      <w:r w:rsidRPr="0007515F">
        <w:rPr>
          <w:rFonts w:ascii="Arial" w:hAnsi="Arial" w:cs="Arial"/>
        </w:rPr>
        <w:t xml:space="preserve"> consumers are warned about the hazards in individual goods so they can choose</w:t>
      </w:r>
      <w:r w:rsidR="003C1C2B">
        <w:rPr>
          <w:rFonts w:ascii="Arial" w:hAnsi="Arial" w:cs="Arial"/>
        </w:rPr>
        <w:t xml:space="preserve"> to</w:t>
      </w:r>
      <w:r w:rsidRPr="0007515F">
        <w:rPr>
          <w:rFonts w:ascii="Arial" w:hAnsi="Arial" w:cs="Arial"/>
        </w:rPr>
        <w:t xml:space="preserve"> not</w:t>
      </w:r>
      <w:r w:rsidR="006C7C7E" w:rsidRPr="0007515F">
        <w:rPr>
          <w:rFonts w:ascii="Arial" w:hAnsi="Arial" w:cs="Arial"/>
        </w:rPr>
        <w:t xml:space="preserve"> </w:t>
      </w:r>
      <w:r w:rsidR="0007515F" w:rsidRPr="0007515F">
        <w:rPr>
          <w:rFonts w:ascii="Arial" w:hAnsi="Arial" w:cs="Arial"/>
        </w:rPr>
        <w:t>purchase them.</w:t>
      </w:r>
    </w:p>
    <w:p w:rsidR="006C7C7E" w:rsidRPr="0007515F" w:rsidRDefault="00E95200" w:rsidP="0007515F">
      <w:pPr>
        <w:spacing w:after="240"/>
        <w:rPr>
          <w:rFonts w:ascii="Arial" w:hAnsi="Arial" w:cs="Arial"/>
        </w:rPr>
      </w:pPr>
      <w:r w:rsidRPr="0007515F">
        <w:rPr>
          <w:rFonts w:ascii="Arial" w:hAnsi="Arial" w:cs="Arial"/>
        </w:rPr>
        <w:t>There is also a public good argument that protection of public health is underprovided by the private sector.</w:t>
      </w:r>
      <w:r w:rsidRPr="00690F06">
        <w:rPr>
          <w:rStyle w:val="FootnoteReference"/>
          <w:rFonts w:ascii="Arial" w:hAnsi="Arial" w:cs="Arial"/>
        </w:rPr>
        <w:footnoteReference w:id="19"/>
      </w:r>
      <w:r w:rsidRPr="0007515F">
        <w:rPr>
          <w:rFonts w:ascii="Arial" w:hAnsi="Arial" w:cs="Arial"/>
        </w:rPr>
        <w:t xml:space="preserve"> </w:t>
      </w:r>
      <w:r w:rsidR="000057FA">
        <w:rPr>
          <w:rFonts w:ascii="Arial" w:hAnsi="Arial" w:cs="Arial"/>
        </w:rPr>
        <w:t>Health</w:t>
      </w:r>
      <w:r w:rsidRPr="0007515F">
        <w:rPr>
          <w:rFonts w:ascii="Arial" w:hAnsi="Arial" w:cs="Arial"/>
        </w:rPr>
        <w:t xml:space="preserve"> has been identified as one of four significant areas of public policy concern that relate to the hazardous nature of some chemicals.</w:t>
      </w:r>
      <w:r w:rsidRPr="00690F06">
        <w:rPr>
          <w:rStyle w:val="FootnoteReference"/>
          <w:rFonts w:ascii="Arial" w:hAnsi="Arial" w:cs="Arial"/>
        </w:rPr>
        <w:footnoteReference w:id="20"/>
      </w:r>
      <w:r w:rsidR="006C7C7E" w:rsidRPr="0007515F">
        <w:rPr>
          <w:rFonts w:ascii="Arial" w:hAnsi="Arial" w:cs="Arial"/>
        </w:rPr>
        <w:t xml:space="preserve"> </w:t>
      </w:r>
    </w:p>
    <w:p w:rsidR="00E95200" w:rsidRDefault="00902FF9" w:rsidP="008A4C9F">
      <w:pPr>
        <w:spacing w:after="240"/>
        <w:rPr>
          <w:rFonts w:ascii="Arial" w:hAnsi="Arial" w:cs="Arial"/>
        </w:rPr>
      </w:pPr>
      <w:r>
        <w:rPr>
          <w:rFonts w:ascii="Arial" w:hAnsi="Arial" w:cs="Arial"/>
        </w:rPr>
        <w:t>In all cases where the ACCC survey identified</w:t>
      </w:r>
      <w:r w:rsidR="003C1C2B">
        <w:rPr>
          <w:rFonts w:ascii="Arial" w:hAnsi="Arial" w:cs="Arial"/>
        </w:rPr>
        <w:t xml:space="preserve"> use of</w:t>
      </w:r>
      <w:r>
        <w:rPr>
          <w:rFonts w:ascii="Arial" w:hAnsi="Arial" w:cs="Arial"/>
        </w:rPr>
        <w:t xml:space="preserve"> hazardous</w:t>
      </w:r>
      <w:r w:rsidR="003C1C2B">
        <w:rPr>
          <w:rFonts w:ascii="Arial" w:hAnsi="Arial" w:cs="Arial"/>
        </w:rPr>
        <w:t xml:space="preserve"> azo</w:t>
      </w:r>
      <w:r>
        <w:rPr>
          <w:rFonts w:ascii="Arial" w:hAnsi="Arial" w:cs="Arial"/>
        </w:rPr>
        <w:t xml:space="preserve"> dyes</w:t>
      </w:r>
      <w:r w:rsidR="003C1C2B">
        <w:rPr>
          <w:rFonts w:ascii="Arial" w:hAnsi="Arial" w:cs="Arial"/>
        </w:rPr>
        <w:t>,</w:t>
      </w:r>
      <w:r>
        <w:rPr>
          <w:rFonts w:ascii="Arial" w:hAnsi="Arial" w:cs="Arial"/>
        </w:rPr>
        <w:t xml:space="preserve"> the articles were manufactured overseas. While many suppliers have advised the ACCC that they have quality control processes in place to prevent the use of hazardous azo dyes and claim</w:t>
      </w:r>
      <w:r w:rsidR="0037056E">
        <w:rPr>
          <w:rFonts w:ascii="Arial" w:hAnsi="Arial" w:cs="Arial"/>
        </w:rPr>
        <w:t>ed</w:t>
      </w:r>
      <w:r>
        <w:rPr>
          <w:rFonts w:ascii="Arial" w:hAnsi="Arial" w:cs="Arial"/>
        </w:rPr>
        <w:t xml:space="preserve"> to be the victims of ‘dye substitution’, the survey results indicate that whatever the cause of the presence of </w:t>
      </w:r>
      <w:r w:rsidRPr="00690F06">
        <w:rPr>
          <w:rFonts w:ascii="Arial" w:hAnsi="Arial" w:cs="Arial"/>
        </w:rPr>
        <w:t>hazardous dyes</w:t>
      </w:r>
      <w:r>
        <w:rPr>
          <w:rFonts w:ascii="Arial" w:hAnsi="Arial" w:cs="Arial"/>
        </w:rPr>
        <w:t>, quality control processes are at times ineffective.</w:t>
      </w:r>
      <w:r w:rsidR="00AF3F43">
        <w:rPr>
          <w:rFonts w:ascii="Arial" w:hAnsi="Arial" w:cs="Arial"/>
        </w:rPr>
        <w:t xml:space="preserve"> </w:t>
      </w:r>
    </w:p>
    <w:p w:rsidR="00B11D05" w:rsidRPr="00690F06" w:rsidRDefault="00B11D05" w:rsidP="00B11D05">
      <w:pPr>
        <w:keepNext/>
        <w:spacing w:before="240" w:after="240"/>
        <w:rPr>
          <w:rFonts w:ascii="Arial" w:hAnsi="Arial" w:cs="Arial"/>
          <w:b/>
        </w:rPr>
      </w:pPr>
      <w:r w:rsidRPr="00690F06">
        <w:rPr>
          <w:rFonts w:ascii="Arial" w:hAnsi="Arial" w:cs="Arial"/>
          <w:b/>
        </w:rPr>
        <w:t>Who is best placed to prevent exposure?</w:t>
      </w:r>
    </w:p>
    <w:p w:rsidR="00B11D05" w:rsidRPr="00690F06" w:rsidRDefault="00B11D05" w:rsidP="00B11D05">
      <w:pPr>
        <w:spacing w:after="240"/>
        <w:rPr>
          <w:rFonts w:ascii="Arial" w:hAnsi="Arial" w:cs="Arial"/>
        </w:rPr>
      </w:pPr>
      <w:r w:rsidRPr="00690F06">
        <w:rPr>
          <w:rFonts w:ascii="Arial" w:hAnsi="Arial" w:cs="Arial"/>
          <w:color w:val="000000"/>
        </w:rPr>
        <w:t xml:space="preserve">There are a number of ways Australian suppliers can manage quality risk including </w:t>
      </w:r>
      <w:r w:rsidR="003C1C2B" w:rsidRPr="00690F06">
        <w:rPr>
          <w:rFonts w:ascii="Arial" w:hAnsi="Arial" w:cs="Arial"/>
          <w:color w:val="000000"/>
        </w:rPr>
        <w:t xml:space="preserve">monitoring output </w:t>
      </w:r>
      <w:r w:rsidR="003C1C2B">
        <w:rPr>
          <w:rFonts w:ascii="Arial" w:hAnsi="Arial" w:cs="Arial"/>
          <w:color w:val="000000"/>
        </w:rPr>
        <w:t xml:space="preserve">and </w:t>
      </w:r>
      <w:r w:rsidRPr="00690F06">
        <w:rPr>
          <w:rFonts w:ascii="Arial" w:hAnsi="Arial" w:cs="Arial"/>
          <w:color w:val="000000"/>
        </w:rPr>
        <w:t>ensuring that manufacturers understand the threshold for a quality product.</w:t>
      </w:r>
      <w:r w:rsidRPr="00690F06">
        <w:rPr>
          <w:rStyle w:val="FootnoteReference"/>
          <w:rFonts w:ascii="Arial" w:hAnsi="Arial" w:cs="Arial"/>
          <w:color w:val="000000"/>
        </w:rPr>
        <w:footnoteReference w:id="21"/>
      </w:r>
      <w:r w:rsidRPr="00690F06">
        <w:rPr>
          <w:rFonts w:ascii="Arial" w:hAnsi="Arial" w:cs="Arial"/>
          <w:b/>
          <w:bCs/>
          <w:color w:val="000000"/>
        </w:rPr>
        <w:t xml:space="preserve"> </w:t>
      </w:r>
      <w:r w:rsidRPr="00106403">
        <w:rPr>
          <w:rFonts w:ascii="Arial" w:hAnsi="Arial" w:cs="Arial"/>
          <w:bCs/>
          <w:color w:val="000000"/>
        </w:rPr>
        <w:t>O</w:t>
      </w:r>
      <w:r w:rsidRPr="00690F06">
        <w:rPr>
          <w:rFonts w:ascii="Arial" w:hAnsi="Arial" w:cs="Arial"/>
          <w:color w:val="000000"/>
        </w:rPr>
        <w:t xml:space="preserve">utput management may be achieved </w:t>
      </w:r>
      <w:r>
        <w:rPr>
          <w:rFonts w:ascii="Arial" w:hAnsi="Arial" w:cs="Arial"/>
          <w:color w:val="000000"/>
        </w:rPr>
        <w:t>by</w:t>
      </w:r>
      <w:r w:rsidRPr="00690F06">
        <w:rPr>
          <w:rFonts w:ascii="Arial" w:hAnsi="Arial" w:cs="Arial"/>
          <w:color w:val="000000"/>
        </w:rPr>
        <w:t xml:space="preserve"> testing finished goods or, preferably via supply chain monitoring </w:t>
      </w:r>
      <w:r>
        <w:rPr>
          <w:rFonts w:ascii="Arial" w:hAnsi="Arial" w:cs="Arial"/>
          <w:color w:val="000000"/>
        </w:rPr>
        <w:t>with auditing and testing.</w:t>
      </w:r>
      <w:r w:rsidRPr="00690F06">
        <w:rPr>
          <w:rFonts w:ascii="Arial" w:hAnsi="Arial" w:cs="Arial"/>
          <w:color w:val="000000"/>
        </w:rPr>
        <w:t xml:space="preserve"> </w:t>
      </w:r>
    </w:p>
    <w:p w:rsidR="00B11D05" w:rsidRDefault="00B11D05" w:rsidP="003C1C2B">
      <w:pPr>
        <w:keepNext/>
        <w:spacing w:after="240"/>
        <w:rPr>
          <w:rFonts w:ascii="Arial" w:hAnsi="Arial" w:cs="Arial"/>
        </w:rPr>
      </w:pPr>
      <w:r>
        <w:rPr>
          <w:rFonts w:ascii="Arial" w:hAnsi="Arial" w:cs="Arial"/>
        </w:rPr>
        <w:lastRenderedPageBreak/>
        <w:t>Other</w:t>
      </w:r>
      <w:r w:rsidRPr="00690F06">
        <w:rPr>
          <w:rFonts w:ascii="Arial" w:hAnsi="Arial" w:cs="Arial"/>
        </w:rPr>
        <w:t xml:space="preserve"> controls </w:t>
      </w:r>
      <w:r>
        <w:rPr>
          <w:rFonts w:ascii="Arial" w:hAnsi="Arial" w:cs="Arial"/>
        </w:rPr>
        <w:t>may include</w:t>
      </w:r>
      <w:r w:rsidRPr="00690F06">
        <w:rPr>
          <w:rFonts w:ascii="Arial" w:hAnsi="Arial" w:cs="Arial"/>
        </w:rPr>
        <w:t>:</w:t>
      </w:r>
    </w:p>
    <w:p w:rsidR="00B11D05" w:rsidRDefault="00B11D05" w:rsidP="00B11D05">
      <w:pPr>
        <w:numPr>
          <w:ilvl w:val="0"/>
          <w:numId w:val="46"/>
        </w:numPr>
        <w:spacing w:after="240"/>
        <w:ind w:left="567" w:hanging="567"/>
        <w:rPr>
          <w:rFonts w:ascii="Arial" w:hAnsi="Arial" w:cs="Arial"/>
        </w:rPr>
      </w:pPr>
      <w:r>
        <w:rPr>
          <w:rFonts w:ascii="Arial" w:hAnsi="Arial" w:cs="Arial"/>
        </w:rPr>
        <w:t>Australian suppliers specifying in their contracts with overseas suppliers or intermediaries that hazardous azo dyes are not to be used in direct</w:t>
      </w:r>
      <w:r w:rsidR="00B8720B">
        <w:rPr>
          <w:rFonts w:ascii="Arial" w:hAnsi="Arial" w:cs="Arial"/>
        </w:rPr>
        <w:t xml:space="preserve"> and prolonged contact articles</w:t>
      </w:r>
    </w:p>
    <w:p w:rsidR="00B11D05" w:rsidRDefault="00B8720B" w:rsidP="00B11D05">
      <w:pPr>
        <w:numPr>
          <w:ilvl w:val="0"/>
          <w:numId w:val="46"/>
        </w:numPr>
        <w:spacing w:after="240"/>
        <w:ind w:left="567" w:hanging="567"/>
        <w:rPr>
          <w:rFonts w:ascii="Arial" w:hAnsi="Arial" w:cs="Arial"/>
        </w:rPr>
      </w:pPr>
      <w:r>
        <w:rPr>
          <w:rFonts w:ascii="Arial" w:hAnsi="Arial" w:cs="Arial"/>
        </w:rPr>
        <w:t>s</w:t>
      </w:r>
      <w:r w:rsidR="00B11D05" w:rsidRPr="00690F06">
        <w:rPr>
          <w:rFonts w:ascii="Arial" w:hAnsi="Arial" w:cs="Arial"/>
        </w:rPr>
        <w:t>pecifically ensuring that raw materials used to manufacture fin</w:t>
      </w:r>
      <w:r w:rsidR="00B11D05">
        <w:rPr>
          <w:rFonts w:ascii="Arial" w:hAnsi="Arial" w:cs="Arial"/>
        </w:rPr>
        <w:t>ished goods meet specifications, which may require representatives from Australian suppliers visiting overseas factories and selecting raw materials from the production line to s</w:t>
      </w:r>
      <w:r>
        <w:rPr>
          <w:rFonts w:ascii="Arial" w:hAnsi="Arial" w:cs="Arial"/>
        </w:rPr>
        <w:t>end for third party testing</w:t>
      </w:r>
    </w:p>
    <w:p w:rsidR="00B11D05" w:rsidRPr="00690F06" w:rsidRDefault="00B8720B" w:rsidP="00B11D05">
      <w:pPr>
        <w:numPr>
          <w:ilvl w:val="0"/>
          <w:numId w:val="46"/>
        </w:numPr>
        <w:spacing w:after="240"/>
        <w:ind w:left="567" w:hanging="567"/>
        <w:rPr>
          <w:rFonts w:ascii="Arial" w:hAnsi="Arial" w:cs="Arial"/>
        </w:rPr>
      </w:pPr>
      <w:r>
        <w:rPr>
          <w:rFonts w:ascii="Arial" w:hAnsi="Arial" w:cs="Arial"/>
        </w:rPr>
        <w:t>t</w:t>
      </w:r>
      <w:r w:rsidR="00B11D05" w:rsidRPr="00690F06">
        <w:rPr>
          <w:rFonts w:ascii="Arial" w:hAnsi="Arial" w:cs="Arial"/>
        </w:rPr>
        <w:t>esting samples from batches of finished goods</w:t>
      </w:r>
      <w:r w:rsidR="00B11D05">
        <w:rPr>
          <w:rFonts w:ascii="Arial" w:hAnsi="Arial" w:cs="Arial"/>
        </w:rPr>
        <w:t xml:space="preserve"> prior to the Australian supplier accepting delivery of a consignment (ideally, before goods have left the overseas manufacturing facility)</w:t>
      </w:r>
    </w:p>
    <w:p w:rsidR="00B11D05" w:rsidRDefault="00B11D05" w:rsidP="00B11D05">
      <w:pPr>
        <w:spacing w:after="240"/>
        <w:rPr>
          <w:rFonts w:ascii="Arial" w:hAnsi="Arial" w:cs="Arial"/>
        </w:rPr>
      </w:pPr>
      <w:r w:rsidRPr="00FC5ED3">
        <w:rPr>
          <w:rFonts w:ascii="Arial" w:hAnsi="Arial" w:cs="Arial"/>
        </w:rPr>
        <w:t xml:space="preserve">A comprehensive quality assurance system involving established quality systems such as ISO 9000 and factory audits in conjunction with some input and output testing is generally thought to be a </w:t>
      </w:r>
      <w:r w:rsidRPr="00604006">
        <w:rPr>
          <w:rFonts w:ascii="Arial" w:hAnsi="Arial" w:cs="Arial"/>
        </w:rPr>
        <w:t xml:space="preserve">robust and efficient approach. Such third party certification schemes are available at a cost to suppliers, but they are not infallible. </w:t>
      </w:r>
    </w:p>
    <w:p w:rsidR="00B11D05" w:rsidRDefault="00B11D05" w:rsidP="00B11D05">
      <w:pPr>
        <w:spacing w:after="240"/>
        <w:rPr>
          <w:rFonts w:ascii="Arial" w:hAnsi="Arial" w:cs="Arial"/>
        </w:rPr>
      </w:pPr>
      <w:r w:rsidRPr="00B7209D">
        <w:rPr>
          <w:rFonts w:ascii="Arial" w:hAnsi="Arial" w:cs="Arial"/>
        </w:rPr>
        <w:t>Attachment </w:t>
      </w:r>
      <w:r w:rsidR="005C15F3" w:rsidRPr="00B7209D">
        <w:rPr>
          <w:rFonts w:ascii="Arial" w:hAnsi="Arial" w:cs="Arial"/>
        </w:rPr>
        <w:t>6</w:t>
      </w:r>
      <w:r w:rsidR="005C15F3">
        <w:rPr>
          <w:rFonts w:ascii="Arial" w:hAnsi="Arial" w:cs="Arial"/>
        </w:rPr>
        <w:t xml:space="preserve"> </w:t>
      </w:r>
      <w:r>
        <w:rPr>
          <w:rFonts w:ascii="Arial" w:hAnsi="Arial" w:cs="Arial"/>
        </w:rPr>
        <w:t xml:space="preserve">includes more discussion on the constraints and barriers for business when considering an appropriate compliance program. </w:t>
      </w:r>
    </w:p>
    <w:p w:rsidR="00254B15" w:rsidRPr="00B7209D" w:rsidRDefault="00254B15" w:rsidP="00B7209D">
      <w:pPr>
        <w:keepNext/>
        <w:spacing w:before="240" w:after="240"/>
        <w:rPr>
          <w:rFonts w:ascii="Arial" w:hAnsi="Arial" w:cs="Arial"/>
          <w:b/>
        </w:rPr>
      </w:pPr>
      <w:r w:rsidRPr="00B7209D">
        <w:rPr>
          <w:rFonts w:ascii="Arial" w:hAnsi="Arial" w:cs="Arial"/>
          <w:b/>
        </w:rPr>
        <w:t xml:space="preserve">International trade </w:t>
      </w:r>
      <w:r w:rsidR="00756F17">
        <w:rPr>
          <w:rFonts w:ascii="Arial" w:hAnsi="Arial" w:cs="Arial"/>
          <w:b/>
        </w:rPr>
        <w:t>and regulation</w:t>
      </w:r>
    </w:p>
    <w:p w:rsidR="0007515F" w:rsidRPr="00373DF6" w:rsidRDefault="00254B15" w:rsidP="00254B15">
      <w:pPr>
        <w:spacing w:after="240"/>
        <w:rPr>
          <w:rFonts w:ascii="Arial" w:hAnsi="Arial" w:cs="Arial"/>
          <w:color w:val="000000"/>
        </w:rPr>
      </w:pPr>
      <w:r w:rsidRPr="00254B15">
        <w:rPr>
          <w:rFonts w:ascii="Arial" w:hAnsi="Arial" w:cs="Arial"/>
        </w:rPr>
        <w:t>Over recent decades, there has been a general trend to manufacture and source finished goods from countries with lower production costs</w:t>
      </w:r>
      <w:r w:rsidR="0007515F">
        <w:rPr>
          <w:rFonts w:ascii="Arial" w:hAnsi="Arial" w:cs="Arial"/>
        </w:rPr>
        <w:t>, commonly known as ‘off-shoring’.</w:t>
      </w:r>
      <w:r w:rsidRPr="00254B15">
        <w:rPr>
          <w:rFonts w:ascii="Arial" w:hAnsi="Arial" w:cs="Arial"/>
        </w:rPr>
        <w:t xml:space="preserve"> </w:t>
      </w:r>
      <w:r w:rsidR="0007515F" w:rsidRPr="00690F06">
        <w:rPr>
          <w:rFonts w:ascii="Arial" w:hAnsi="Arial" w:cs="Arial"/>
          <w:color w:val="000000"/>
        </w:rPr>
        <w:t>While there may be cost benefits associated with this trend there are also hidden costs in moving production a long way from the intended market for supply.</w:t>
      </w:r>
      <w:r w:rsidR="0007515F" w:rsidRPr="00690F06">
        <w:rPr>
          <w:rStyle w:val="FootnoteReference"/>
          <w:rFonts w:ascii="Arial" w:hAnsi="Arial" w:cs="Arial"/>
          <w:color w:val="000000"/>
        </w:rPr>
        <w:footnoteReference w:id="22"/>
      </w:r>
      <w:r w:rsidR="0007515F" w:rsidRPr="00690F06">
        <w:rPr>
          <w:rFonts w:ascii="Arial" w:hAnsi="Arial" w:cs="Arial"/>
          <w:color w:val="000000"/>
        </w:rPr>
        <w:t xml:space="preserve"> </w:t>
      </w:r>
      <w:r w:rsidR="000852AF">
        <w:rPr>
          <w:rFonts w:ascii="Arial" w:hAnsi="Arial" w:cs="Arial"/>
          <w:color w:val="000000"/>
        </w:rPr>
        <w:t>Product quality failure</w:t>
      </w:r>
      <w:r w:rsidR="003C1C2B">
        <w:rPr>
          <w:rFonts w:ascii="Arial" w:hAnsi="Arial" w:cs="Arial"/>
          <w:color w:val="000000"/>
        </w:rPr>
        <w:t xml:space="preserve"> is just</w:t>
      </w:r>
      <w:r w:rsidR="000852AF">
        <w:rPr>
          <w:rFonts w:ascii="Arial" w:hAnsi="Arial" w:cs="Arial"/>
          <w:color w:val="000000"/>
        </w:rPr>
        <w:t xml:space="preserve"> </w:t>
      </w:r>
      <w:r w:rsidR="000852AF" w:rsidRPr="00373DF6">
        <w:rPr>
          <w:rFonts w:ascii="Arial" w:hAnsi="Arial" w:cs="Arial"/>
          <w:color w:val="000000"/>
        </w:rPr>
        <w:t xml:space="preserve">one of the </w:t>
      </w:r>
      <w:r w:rsidR="00870BC6" w:rsidRPr="00373DF6">
        <w:rPr>
          <w:rFonts w:ascii="Arial" w:hAnsi="Arial" w:cs="Arial"/>
          <w:color w:val="000000"/>
        </w:rPr>
        <w:t>hidden costs associated with off-shoring.</w:t>
      </w:r>
      <w:r w:rsidR="00870BC6" w:rsidRPr="00373DF6">
        <w:rPr>
          <w:rStyle w:val="FootnoteReference"/>
          <w:rFonts w:ascii="Arial" w:hAnsi="Arial" w:cs="Arial"/>
          <w:color w:val="000000"/>
        </w:rPr>
        <w:footnoteReference w:id="23"/>
      </w:r>
    </w:p>
    <w:p w:rsidR="00254B15" w:rsidRPr="00254B15" w:rsidRDefault="00254B15" w:rsidP="00254B15">
      <w:pPr>
        <w:spacing w:after="240"/>
        <w:rPr>
          <w:rFonts w:ascii="Arial" w:hAnsi="Arial" w:cs="Arial"/>
        </w:rPr>
      </w:pPr>
      <w:r w:rsidRPr="00373DF6">
        <w:rPr>
          <w:rFonts w:ascii="Arial" w:hAnsi="Arial" w:cs="Arial"/>
        </w:rPr>
        <w:t xml:space="preserve">As a result of this trend </w:t>
      </w:r>
      <w:r w:rsidR="00373DF6" w:rsidRPr="00373DF6">
        <w:rPr>
          <w:rFonts w:ascii="Arial" w:hAnsi="Arial" w:cs="Arial"/>
        </w:rPr>
        <w:t xml:space="preserve">to source goods from overseas, output from the </w:t>
      </w:r>
      <w:r w:rsidRPr="00373DF6">
        <w:rPr>
          <w:rFonts w:ascii="Arial" w:hAnsi="Arial" w:cs="Arial"/>
        </w:rPr>
        <w:t>Australian manufacturing industry for clothing and textiles has declined over time.</w:t>
      </w:r>
      <w:r w:rsidRPr="00373DF6">
        <w:rPr>
          <w:rFonts w:ascii="Arial" w:hAnsi="Arial" w:cs="Arial"/>
          <w:vertAlign w:val="superscript"/>
        </w:rPr>
        <w:footnoteReference w:id="24"/>
      </w:r>
      <w:r w:rsidRPr="00373DF6">
        <w:rPr>
          <w:rFonts w:ascii="Arial" w:hAnsi="Arial" w:cs="Arial"/>
        </w:rPr>
        <w:t xml:space="preserve"> Quantifying this decline is difficult due to the diversity of the industry although the Australian Bureau of Statistics estimates of the level of textiles</w:t>
      </w:r>
      <w:r w:rsidRPr="00254B15">
        <w:rPr>
          <w:rFonts w:ascii="Arial" w:hAnsi="Arial" w:cs="Arial"/>
        </w:rPr>
        <w:t>, clothing and footwear manufacturing activity are understated.</w:t>
      </w:r>
      <w:r w:rsidR="00AF3F43">
        <w:rPr>
          <w:rStyle w:val="FootnoteReference"/>
          <w:rFonts w:ascii="Arial" w:hAnsi="Arial" w:cs="Arial"/>
        </w:rPr>
        <w:footnoteReference w:id="25"/>
      </w:r>
      <w:r w:rsidRPr="00254B15">
        <w:rPr>
          <w:rFonts w:ascii="Arial" w:hAnsi="Arial" w:cs="Arial"/>
        </w:rPr>
        <w:t xml:space="preserve"> However, there is no doubt the clothing and textiles sector in Australia has declined over many years.</w:t>
      </w:r>
      <w:r w:rsidRPr="00254B15">
        <w:rPr>
          <w:rFonts w:ascii="Arial" w:hAnsi="Arial" w:cs="Arial"/>
          <w:vertAlign w:val="superscript"/>
        </w:rPr>
        <w:footnoteReference w:id="26"/>
      </w:r>
    </w:p>
    <w:p w:rsidR="002E443B" w:rsidRDefault="00A3716C" w:rsidP="00A3716C">
      <w:pPr>
        <w:spacing w:after="240"/>
        <w:rPr>
          <w:rFonts w:ascii="Arial" w:hAnsi="Arial" w:cs="Arial"/>
        </w:rPr>
      </w:pPr>
      <w:r>
        <w:rPr>
          <w:rFonts w:ascii="Arial" w:hAnsi="Arial" w:cs="Arial"/>
        </w:rPr>
        <w:t>A</w:t>
      </w:r>
      <w:r w:rsidR="00254B15" w:rsidRPr="00254B15">
        <w:rPr>
          <w:rFonts w:ascii="Arial" w:hAnsi="Arial" w:cs="Arial"/>
        </w:rPr>
        <w:t xml:space="preserve"> number of countries</w:t>
      </w:r>
      <w:r w:rsidR="003F50CB">
        <w:rPr>
          <w:rFonts w:ascii="Arial" w:hAnsi="Arial" w:cs="Arial"/>
        </w:rPr>
        <w:t xml:space="preserve"> including China, Japan, the United States and countries in the EU have restrictions in place for certain azo dyes and hazardous aromatic amines. These restrictions vary from voluntary standards to specific limits.</w:t>
      </w:r>
      <w:r w:rsidR="00254B15" w:rsidRPr="006A58CF">
        <w:rPr>
          <w:rFonts w:ascii="Arial" w:hAnsi="Arial" w:cs="Arial"/>
        </w:rPr>
        <w:t xml:space="preserve"> </w:t>
      </w:r>
      <w:r w:rsidR="00756F17" w:rsidRPr="006A58CF">
        <w:rPr>
          <w:rFonts w:ascii="Arial" w:hAnsi="Arial" w:cs="Arial"/>
        </w:rPr>
        <w:t xml:space="preserve">For example, in the EU, the use of hazardous azo dyes in clothing and textiles has been restricted since 2003. </w:t>
      </w:r>
      <w:r w:rsidR="00254B15" w:rsidRPr="006A58CF">
        <w:rPr>
          <w:rFonts w:ascii="Arial" w:hAnsi="Arial" w:cs="Arial"/>
        </w:rPr>
        <w:t>Despite these restrictions, clothing containing hazardous azo dyes is still found in countries where regulations are in place.</w:t>
      </w:r>
      <w:r w:rsidRPr="006A58CF">
        <w:rPr>
          <w:rFonts w:ascii="Arial" w:hAnsi="Arial" w:cs="Arial"/>
        </w:rPr>
        <w:t xml:space="preserve"> </w:t>
      </w:r>
      <w:r w:rsidR="006A58CF" w:rsidRPr="00B7209D">
        <w:rPr>
          <w:rFonts w:ascii="Arial" w:hAnsi="Arial" w:cs="Arial"/>
        </w:rPr>
        <w:t>Further information on international regulations is provided at Attachment 7.</w:t>
      </w:r>
    </w:p>
    <w:p w:rsidR="00A3716C" w:rsidRPr="00AE57D0" w:rsidRDefault="00A3716C" w:rsidP="00A3716C">
      <w:pPr>
        <w:spacing w:after="240"/>
        <w:rPr>
          <w:rFonts w:ascii="Arial" w:hAnsi="Arial" w:cs="Arial"/>
        </w:rPr>
      </w:pPr>
      <w:r w:rsidRPr="00AE57D0">
        <w:rPr>
          <w:rFonts w:ascii="Arial" w:hAnsi="Arial" w:cs="Arial"/>
        </w:rPr>
        <w:lastRenderedPageBreak/>
        <w:t>Between 2005 and 2014, there have been 126 recalls notified on the EU’s RAPEX alert system</w:t>
      </w:r>
      <w:r w:rsidR="00AF3F43">
        <w:rPr>
          <w:rStyle w:val="FootnoteReference"/>
          <w:rFonts w:ascii="Arial" w:hAnsi="Arial" w:cs="Arial"/>
        </w:rPr>
        <w:footnoteReference w:id="27"/>
      </w:r>
      <w:r w:rsidRPr="00AE57D0">
        <w:rPr>
          <w:rFonts w:ascii="Arial" w:hAnsi="Arial" w:cs="Arial"/>
        </w:rPr>
        <w:t xml:space="preserve"> for products containing hazardous aromatic amines that exceed the maximum limit of 30 mg/kg. The majority of recalled articles originated from China (approx. 52 per cent) and India (23 per cent). Recalled articles included scarves and gloves (28 per cent), children’s clothing (14 per cent), </w:t>
      </w:r>
      <w:r w:rsidR="001313F8">
        <w:rPr>
          <w:rFonts w:ascii="Arial" w:hAnsi="Arial" w:cs="Arial"/>
        </w:rPr>
        <w:t>women’s</w:t>
      </w:r>
      <w:r w:rsidR="001313F8" w:rsidRPr="00AE57D0">
        <w:rPr>
          <w:rFonts w:ascii="Arial" w:hAnsi="Arial" w:cs="Arial"/>
        </w:rPr>
        <w:t xml:space="preserve"> </w:t>
      </w:r>
      <w:r w:rsidRPr="00AE57D0">
        <w:rPr>
          <w:rFonts w:ascii="Arial" w:hAnsi="Arial" w:cs="Arial"/>
        </w:rPr>
        <w:t>clothing (13 per cent), and shoes (9 per cent).</w:t>
      </w:r>
    </w:p>
    <w:p w:rsidR="00A3716C" w:rsidRPr="00AE57D0" w:rsidRDefault="00A3716C" w:rsidP="00A3716C">
      <w:pPr>
        <w:spacing w:after="240"/>
        <w:rPr>
          <w:rFonts w:ascii="Arial" w:hAnsi="Arial" w:cs="Arial"/>
        </w:rPr>
      </w:pPr>
      <w:r w:rsidRPr="00AE57D0">
        <w:rPr>
          <w:rFonts w:ascii="Arial" w:hAnsi="Arial" w:cs="Arial"/>
        </w:rPr>
        <w:t>Recently</w:t>
      </w:r>
      <w:r w:rsidR="002E443B">
        <w:rPr>
          <w:rFonts w:ascii="Arial" w:hAnsi="Arial" w:cs="Arial"/>
        </w:rPr>
        <w:t>,</w:t>
      </w:r>
      <w:r w:rsidRPr="00AE57D0">
        <w:rPr>
          <w:rFonts w:ascii="Arial" w:hAnsi="Arial" w:cs="Arial"/>
        </w:rPr>
        <w:t xml:space="preserve"> school uniforms containing hazardous aromatic amines were discovered in China</w:t>
      </w:r>
      <w:r w:rsidR="0071685D">
        <w:rPr>
          <w:rFonts w:ascii="Arial" w:hAnsi="Arial" w:cs="Arial"/>
        </w:rPr>
        <w:t>,</w:t>
      </w:r>
      <w:r w:rsidRPr="00AE57D0">
        <w:rPr>
          <w:rFonts w:ascii="Arial" w:hAnsi="Arial" w:cs="Arial"/>
        </w:rPr>
        <w:t xml:space="preserve"> despite a ban on their use for clothing supplied </w:t>
      </w:r>
      <w:r w:rsidR="001313F8">
        <w:rPr>
          <w:rFonts w:ascii="Arial" w:hAnsi="Arial" w:cs="Arial"/>
        </w:rPr>
        <w:t xml:space="preserve">for </w:t>
      </w:r>
      <w:r w:rsidR="00EB671C">
        <w:rPr>
          <w:rFonts w:ascii="Arial" w:hAnsi="Arial" w:cs="Arial"/>
        </w:rPr>
        <w:t xml:space="preserve">use </w:t>
      </w:r>
      <w:r w:rsidRPr="00AE57D0">
        <w:rPr>
          <w:rFonts w:ascii="Arial" w:hAnsi="Arial" w:cs="Arial"/>
        </w:rPr>
        <w:t>within China.</w:t>
      </w:r>
      <w:r w:rsidRPr="00AE57D0">
        <w:rPr>
          <w:rStyle w:val="FootnoteReference"/>
          <w:rFonts w:ascii="Arial" w:hAnsi="Arial" w:cs="Arial"/>
        </w:rPr>
        <w:footnoteReference w:id="28"/>
      </w:r>
    </w:p>
    <w:p w:rsidR="00254B15" w:rsidRPr="00254B15" w:rsidRDefault="00A3716C" w:rsidP="00254B15">
      <w:pPr>
        <w:spacing w:after="240"/>
        <w:rPr>
          <w:rFonts w:ascii="Arial" w:hAnsi="Arial" w:cs="Arial"/>
        </w:rPr>
      </w:pPr>
      <w:r>
        <w:rPr>
          <w:rFonts w:ascii="Arial" w:hAnsi="Arial" w:cs="Arial"/>
        </w:rPr>
        <w:t>T</w:t>
      </w:r>
      <w:r w:rsidR="00254B15" w:rsidRPr="00254B15">
        <w:rPr>
          <w:rFonts w:ascii="Arial" w:hAnsi="Arial" w:cs="Arial"/>
        </w:rPr>
        <w:t xml:space="preserve">he causes of these breaches are unknown but they are likely to be due to intentional or unintentional substitution of dyes. It is reasonable to assume that the risk of breach recurrence will remain for as long as </w:t>
      </w:r>
      <w:r w:rsidR="00756F17">
        <w:rPr>
          <w:rFonts w:ascii="Arial" w:hAnsi="Arial" w:cs="Arial"/>
        </w:rPr>
        <w:t xml:space="preserve">stockpiles of </w:t>
      </w:r>
      <w:r w:rsidR="00254B15" w:rsidRPr="00254B15">
        <w:rPr>
          <w:rFonts w:ascii="Arial" w:hAnsi="Arial" w:cs="Arial"/>
        </w:rPr>
        <w:t xml:space="preserve">hazardous </w:t>
      </w:r>
      <w:r w:rsidR="002E443B">
        <w:rPr>
          <w:rFonts w:ascii="Arial" w:hAnsi="Arial" w:cs="Arial"/>
        </w:rPr>
        <w:t xml:space="preserve">azo </w:t>
      </w:r>
      <w:r w:rsidR="00254B15" w:rsidRPr="00254B15">
        <w:rPr>
          <w:rFonts w:ascii="Arial" w:hAnsi="Arial" w:cs="Arial"/>
        </w:rPr>
        <w:t>dyes exist</w:t>
      </w:r>
      <w:r w:rsidR="00EB671C">
        <w:rPr>
          <w:rFonts w:ascii="Arial" w:hAnsi="Arial" w:cs="Arial"/>
        </w:rPr>
        <w:t xml:space="preserve"> and the opportunity for substitution continues</w:t>
      </w:r>
      <w:r w:rsidR="00254B15" w:rsidRPr="00254B15">
        <w:rPr>
          <w:rFonts w:ascii="Arial" w:hAnsi="Arial" w:cs="Arial"/>
        </w:rPr>
        <w:t xml:space="preserve">. In order to prevent </w:t>
      </w:r>
      <w:r w:rsidR="00EB671C">
        <w:rPr>
          <w:rFonts w:ascii="Arial" w:hAnsi="Arial" w:cs="Arial"/>
        </w:rPr>
        <w:t>unsafe goods from being supplied in Australia</w:t>
      </w:r>
      <w:r w:rsidR="00254B15" w:rsidRPr="00254B15">
        <w:rPr>
          <w:rFonts w:ascii="Arial" w:hAnsi="Arial" w:cs="Arial"/>
        </w:rPr>
        <w:t>, Australian suppliers may need to improve quality control processes and step up monitoring of finished goods</w:t>
      </w:r>
      <w:r w:rsidR="00EB671C">
        <w:rPr>
          <w:rFonts w:ascii="Arial" w:hAnsi="Arial" w:cs="Arial"/>
        </w:rPr>
        <w:t>.</w:t>
      </w:r>
    </w:p>
    <w:p w:rsidR="00254B15" w:rsidRPr="00B7209D" w:rsidRDefault="00254B15" w:rsidP="00B7209D">
      <w:pPr>
        <w:keepNext/>
        <w:spacing w:after="240"/>
        <w:rPr>
          <w:rFonts w:ascii="Arial" w:hAnsi="Arial" w:cs="Arial"/>
        </w:rPr>
      </w:pPr>
      <w:r w:rsidRPr="00B7209D">
        <w:rPr>
          <w:rFonts w:ascii="Arial" w:hAnsi="Arial" w:cs="Arial"/>
          <w:b/>
        </w:rPr>
        <w:t>How might the problem be corrected?</w:t>
      </w:r>
    </w:p>
    <w:p w:rsidR="00254B15" w:rsidRPr="00B85022" w:rsidRDefault="00254B15" w:rsidP="00254B15">
      <w:pPr>
        <w:keepNext/>
        <w:spacing w:after="240"/>
        <w:rPr>
          <w:rFonts w:ascii="Arial" w:hAnsi="Arial" w:cs="Arial"/>
          <w:b/>
        </w:rPr>
      </w:pPr>
      <w:r>
        <w:rPr>
          <w:rFonts w:ascii="Arial" w:hAnsi="Arial" w:cs="Arial"/>
          <w:b/>
        </w:rPr>
        <w:t>S</w:t>
      </w:r>
      <w:r w:rsidRPr="000347E8">
        <w:rPr>
          <w:rFonts w:ascii="Arial" w:hAnsi="Arial" w:cs="Arial"/>
          <w:b/>
        </w:rPr>
        <w:t>elf-correction</w:t>
      </w:r>
    </w:p>
    <w:p w:rsidR="00254B15" w:rsidRPr="00690F06" w:rsidRDefault="00254B15" w:rsidP="00254B15">
      <w:pPr>
        <w:spacing w:after="240"/>
        <w:rPr>
          <w:rFonts w:ascii="Arial" w:hAnsi="Arial" w:cs="Arial"/>
        </w:rPr>
      </w:pPr>
      <w:r w:rsidRPr="00690F06">
        <w:rPr>
          <w:rFonts w:ascii="Arial" w:hAnsi="Arial" w:cs="Arial"/>
        </w:rPr>
        <w:t xml:space="preserve">The risks associated with certain hazardous azo dyes have been well documented and known for some time. There are reports that the use of hazardous azo dyes is dwindling and manufacture is being phased out internationally as </w:t>
      </w:r>
      <w:r w:rsidR="0071685D">
        <w:rPr>
          <w:rFonts w:ascii="Arial" w:hAnsi="Arial" w:cs="Arial"/>
        </w:rPr>
        <w:t xml:space="preserve">large </w:t>
      </w:r>
      <w:r w:rsidRPr="00690F06">
        <w:rPr>
          <w:rFonts w:ascii="Arial" w:hAnsi="Arial" w:cs="Arial"/>
        </w:rPr>
        <w:t xml:space="preserve">markets such as the EU have restrictions in place and safer dyes are </w:t>
      </w:r>
      <w:r>
        <w:rPr>
          <w:rFonts w:ascii="Arial" w:hAnsi="Arial" w:cs="Arial"/>
        </w:rPr>
        <w:t>being developed</w:t>
      </w:r>
      <w:r w:rsidRPr="00690F06">
        <w:rPr>
          <w:rFonts w:ascii="Arial" w:hAnsi="Arial" w:cs="Arial"/>
        </w:rPr>
        <w:t xml:space="preserve"> to replace </w:t>
      </w:r>
      <w:r>
        <w:rPr>
          <w:rFonts w:ascii="Arial" w:hAnsi="Arial" w:cs="Arial"/>
        </w:rPr>
        <w:t>hazardous ones</w:t>
      </w:r>
      <w:r w:rsidRPr="00690F06">
        <w:rPr>
          <w:rFonts w:ascii="Arial" w:hAnsi="Arial" w:cs="Arial"/>
        </w:rPr>
        <w:t>.</w:t>
      </w:r>
      <w:r w:rsidRPr="00690F06">
        <w:rPr>
          <w:rStyle w:val="FootnoteReference"/>
          <w:rFonts w:ascii="Arial" w:hAnsi="Arial" w:cs="Arial"/>
        </w:rPr>
        <w:footnoteReference w:id="29"/>
      </w:r>
    </w:p>
    <w:p w:rsidR="00254B15" w:rsidRDefault="00254B15" w:rsidP="00254B15">
      <w:pPr>
        <w:spacing w:after="240"/>
        <w:rPr>
          <w:rFonts w:ascii="Arial" w:hAnsi="Arial" w:cs="Arial"/>
        </w:rPr>
      </w:pPr>
      <w:r>
        <w:rPr>
          <w:rFonts w:ascii="Arial" w:hAnsi="Arial" w:cs="Arial"/>
        </w:rPr>
        <w:t xml:space="preserve">The declining availability of hazardous dyes combined with </w:t>
      </w:r>
      <w:r w:rsidR="00EB671C">
        <w:rPr>
          <w:rFonts w:ascii="Arial" w:hAnsi="Arial" w:cs="Arial"/>
        </w:rPr>
        <w:t xml:space="preserve">any </w:t>
      </w:r>
      <w:r>
        <w:rPr>
          <w:rFonts w:ascii="Arial" w:hAnsi="Arial" w:cs="Arial"/>
        </w:rPr>
        <w:t>increased Australian supplier compliance activities may see the use of hazardous azo dyes in direct and prolonged contact articles</w:t>
      </w:r>
      <w:r w:rsidR="00EB671C">
        <w:rPr>
          <w:rFonts w:ascii="Arial" w:hAnsi="Arial" w:cs="Arial"/>
        </w:rPr>
        <w:t xml:space="preserve"> fall and the problem</w:t>
      </w:r>
      <w:r>
        <w:rPr>
          <w:rFonts w:ascii="Arial" w:hAnsi="Arial" w:cs="Arial"/>
        </w:rPr>
        <w:t xml:space="preserve"> self-correcting.</w:t>
      </w:r>
    </w:p>
    <w:p w:rsidR="00254B15" w:rsidRDefault="00254B15" w:rsidP="00254B15">
      <w:pPr>
        <w:spacing w:after="240"/>
        <w:rPr>
          <w:rFonts w:ascii="Arial" w:hAnsi="Arial" w:cs="Arial"/>
        </w:rPr>
      </w:pPr>
      <w:r w:rsidRPr="00AE57D0">
        <w:rPr>
          <w:rFonts w:ascii="Arial" w:hAnsi="Arial" w:cs="Arial"/>
        </w:rPr>
        <w:t>However, information provided by stakeholders suggests that increase</w:t>
      </w:r>
      <w:r w:rsidR="00EB671C">
        <w:rPr>
          <w:rFonts w:ascii="Arial" w:hAnsi="Arial" w:cs="Arial"/>
        </w:rPr>
        <w:t>s</w:t>
      </w:r>
      <w:r>
        <w:rPr>
          <w:rFonts w:ascii="Arial" w:hAnsi="Arial" w:cs="Arial"/>
        </w:rPr>
        <w:t xml:space="preserve"> to the</w:t>
      </w:r>
      <w:r w:rsidRPr="00AE57D0">
        <w:rPr>
          <w:rFonts w:ascii="Arial" w:hAnsi="Arial" w:cs="Arial"/>
        </w:rPr>
        <w:t xml:space="preserve"> world oil price correspondingly results in dyestuff price increases.</w:t>
      </w:r>
      <w:r>
        <w:rPr>
          <w:rFonts w:ascii="Arial" w:hAnsi="Arial" w:cs="Arial"/>
        </w:rPr>
        <w:t xml:space="preserve"> Many azo dyes are derived from </w:t>
      </w:r>
      <w:r w:rsidR="00EB671C">
        <w:rPr>
          <w:rFonts w:ascii="Arial" w:hAnsi="Arial" w:cs="Arial"/>
        </w:rPr>
        <w:t>petrochemicals</w:t>
      </w:r>
      <w:r>
        <w:rPr>
          <w:rFonts w:ascii="Arial" w:hAnsi="Arial" w:cs="Arial"/>
        </w:rPr>
        <w:t xml:space="preserve">, so an increase in oil prices can increase the price of new </w:t>
      </w:r>
      <w:r w:rsidR="00EB671C">
        <w:rPr>
          <w:rFonts w:ascii="Arial" w:hAnsi="Arial" w:cs="Arial"/>
        </w:rPr>
        <w:t xml:space="preserve">safer azo </w:t>
      </w:r>
      <w:r>
        <w:rPr>
          <w:rFonts w:ascii="Arial" w:hAnsi="Arial" w:cs="Arial"/>
        </w:rPr>
        <w:t>dyes.</w:t>
      </w:r>
      <w:r w:rsidRPr="00AE57D0">
        <w:rPr>
          <w:rFonts w:ascii="Arial" w:hAnsi="Arial" w:cs="Arial"/>
        </w:rPr>
        <w:t xml:space="preserve"> </w:t>
      </w:r>
      <w:r>
        <w:rPr>
          <w:rFonts w:ascii="Arial" w:hAnsi="Arial" w:cs="Arial"/>
        </w:rPr>
        <w:t>S</w:t>
      </w:r>
      <w:r w:rsidRPr="00AE57D0">
        <w:rPr>
          <w:rFonts w:ascii="Arial" w:hAnsi="Arial" w:cs="Arial"/>
        </w:rPr>
        <w:t>takeholders suggest that</w:t>
      </w:r>
      <w:r>
        <w:rPr>
          <w:rFonts w:ascii="Arial" w:hAnsi="Arial" w:cs="Arial"/>
        </w:rPr>
        <w:t xml:space="preserve"> in these circumstances</w:t>
      </w:r>
      <w:r w:rsidRPr="00AE57D0">
        <w:rPr>
          <w:rFonts w:ascii="Arial" w:hAnsi="Arial" w:cs="Arial"/>
        </w:rPr>
        <w:t xml:space="preserve"> less scrupulous manufacturers may turn to stockpiles of older less safe dyes (or stockpiled fabrics dyed with unsafe dyes) in order to keep manufacturing costs down.</w:t>
      </w:r>
      <w:r w:rsidR="00EB671C">
        <w:rPr>
          <w:rStyle w:val="FootnoteReference"/>
          <w:rFonts w:ascii="Arial" w:hAnsi="Arial" w:cs="Arial"/>
        </w:rPr>
        <w:footnoteReference w:id="30"/>
      </w:r>
      <w:r w:rsidRPr="00AE57D0">
        <w:rPr>
          <w:rFonts w:ascii="Arial" w:hAnsi="Arial" w:cs="Arial"/>
        </w:rPr>
        <w:t xml:space="preserve"> </w:t>
      </w:r>
    </w:p>
    <w:p w:rsidR="003C7A7D" w:rsidRPr="003C7A7D" w:rsidRDefault="003C7A7D" w:rsidP="003C7A7D">
      <w:pPr>
        <w:spacing w:after="240"/>
        <w:rPr>
          <w:rFonts w:ascii="Arial" w:hAnsi="Arial" w:cs="Arial"/>
        </w:rPr>
      </w:pPr>
      <w:r w:rsidRPr="003C7A7D">
        <w:rPr>
          <w:rFonts w:ascii="Arial" w:hAnsi="Arial" w:cs="Arial"/>
        </w:rPr>
        <w:t xml:space="preserve">Stakeholders provided comments to the ACCC in June 2014. Since then the oil price has fallen significantly. </w:t>
      </w:r>
      <w:proofErr w:type="gramStart"/>
      <w:r w:rsidRPr="003C7A7D">
        <w:rPr>
          <w:rFonts w:ascii="Arial" w:hAnsi="Arial" w:cs="Arial"/>
        </w:rPr>
        <w:t>On 30 June 2014 West Texas Intermediate (WTI), a grade of oil used as a benchmark for the oil price sold for USD 106.07 per barrel.</w:t>
      </w:r>
      <w:proofErr w:type="gramEnd"/>
      <w:r w:rsidRPr="003C7A7D">
        <w:rPr>
          <w:rFonts w:ascii="Arial" w:hAnsi="Arial" w:cs="Arial"/>
          <w:vertAlign w:val="superscript"/>
        </w:rPr>
        <w:footnoteReference w:id="31"/>
      </w:r>
      <w:r w:rsidRPr="003C7A7D">
        <w:rPr>
          <w:rFonts w:ascii="Arial" w:hAnsi="Arial" w:cs="Arial"/>
        </w:rPr>
        <w:t xml:space="preserve"> On 12 January 2015, WTI sold for USD 46.06 per barrel. While these prices are likely to be part of the oil price cycle </w:t>
      </w:r>
      <w:r w:rsidRPr="003C7A7D">
        <w:rPr>
          <w:rFonts w:ascii="Arial" w:hAnsi="Arial" w:cs="Arial"/>
        </w:rPr>
        <w:lastRenderedPageBreak/>
        <w:t>(prices fell to USD 40 in late 2008)</w:t>
      </w:r>
      <w:r w:rsidRPr="003C7A7D">
        <w:rPr>
          <w:rFonts w:ascii="Arial" w:hAnsi="Arial" w:cs="Arial"/>
          <w:vertAlign w:val="superscript"/>
        </w:rPr>
        <w:footnoteReference w:id="32"/>
      </w:r>
      <w:r w:rsidRPr="003C7A7D">
        <w:rPr>
          <w:rFonts w:ascii="Arial" w:hAnsi="Arial" w:cs="Arial"/>
        </w:rPr>
        <w:t xml:space="preserve">, if sustained, the price of new safer azo dyes should fall at least in the short to medium term. </w:t>
      </w:r>
    </w:p>
    <w:p w:rsidR="00CF12A3" w:rsidRDefault="003C7A7D" w:rsidP="00254B15">
      <w:pPr>
        <w:spacing w:after="240"/>
        <w:rPr>
          <w:rFonts w:ascii="Arial" w:hAnsi="Arial" w:cs="Arial"/>
        </w:rPr>
      </w:pPr>
      <w:r>
        <w:rPr>
          <w:rFonts w:ascii="Arial" w:hAnsi="Arial" w:cs="Arial"/>
        </w:rPr>
        <w:t>Manufacturers turning to less safe dyes</w:t>
      </w:r>
      <w:r w:rsidR="00CF12A3">
        <w:rPr>
          <w:rFonts w:ascii="Arial" w:hAnsi="Arial" w:cs="Arial"/>
        </w:rPr>
        <w:t xml:space="preserve"> may be more of an issue at the cheaper end of the market (i.e. discount shops) where price, rather than </w:t>
      </w:r>
      <w:r w:rsidR="00444E87">
        <w:rPr>
          <w:rFonts w:ascii="Arial" w:hAnsi="Arial" w:cs="Arial"/>
        </w:rPr>
        <w:t xml:space="preserve">the latest </w:t>
      </w:r>
      <w:r w:rsidR="00CF12A3">
        <w:rPr>
          <w:rFonts w:ascii="Arial" w:hAnsi="Arial" w:cs="Arial"/>
        </w:rPr>
        <w:t xml:space="preserve">fashion is the main driver </w:t>
      </w:r>
      <w:r w:rsidR="009071C5">
        <w:rPr>
          <w:rFonts w:ascii="Arial" w:hAnsi="Arial" w:cs="Arial"/>
        </w:rPr>
        <w:t xml:space="preserve">for both supplier and consumer purchasing decisions. Suppliers may be tempted </w:t>
      </w:r>
      <w:r w:rsidR="001313F8">
        <w:rPr>
          <w:rFonts w:ascii="Arial" w:hAnsi="Arial" w:cs="Arial"/>
        </w:rPr>
        <w:t xml:space="preserve">to </w:t>
      </w:r>
      <w:r w:rsidR="009071C5">
        <w:rPr>
          <w:rFonts w:ascii="Arial" w:hAnsi="Arial" w:cs="Arial"/>
        </w:rPr>
        <w:t>source articles from sources which use unsafe cheaper dyes</w:t>
      </w:r>
      <w:r w:rsidR="00444E87">
        <w:rPr>
          <w:rFonts w:ascii="Arial" w:hAnsi="Arial" w:cs="Arial"/>
        </w:rPr>
        <w:t xml:space="preserve"> particularly in circumstances where other jurisdictions have acted to prevent their use</w:t>
      </w:r>
      <w:r w:rsidR="009071C5">
        <w:rPr>
          <w:rFonts w:ascii="Arial" w:hAnsi="Arial" w:cs="Arial"/>
        </w:rPr>
        <w:t>.</w:t>
      </w:r>
    </w:p>
    <w:p w:rsidR="009071C5" w:rsidRDefault="009071C5" w:rsidP="00254B15">
      <w:pPr>
        <w:spacing w:after="240"/>
        <w:rPr>
          <w:rFonts w:ascii="Arial" w:hAnsi="Arial" w:cs="Arial"/>
        </w:rPr>
      </w:pPr>
      <w:r>
        <w:rPr>
          <w:rFonts w:ascii="Arial" w:hAnsi="Arial" w:cs="Arial"/>
        </w:rPr>
        <w:t xml:space="preserve">With restrictions introduced in the EU over 10 years ago, Australian suppliers have had ample opportunity to inform themselves of the risks associated with the use of some azo dyes and taken steps to prevent their use in the supply chain and monitor supply chain output. </w:t>
      </w:r>
      <w:r w:rsidR="00D4049D">
        <w:rPr>
          <w:rFonts w:ascii="Arial" w:hAnsi="Arial" w:cs="Arial"/>
        </w:rPr>
        <w:t xml:space="preserve">Based on the survey results, not all </w:t>
      </w:r>
      <w:r w:rsidR="003B4775">
        <w:rPr>
          <w:rFonts w:ascii="Arial" w:hAnsi="Arial" w:cs="Arial"/>
        </w:rPr>
        <w:t>suppliers have done this</w:t>
      </w:r>
      <w:r w:rsidR="00D4049D">
        <w:rPr>
          <w:rFonts w:ascii="Arial" w:hAnsi="Arial" w:cs="Arial"/>
        </w:rPr>
        <w:t xml:space="preserve"> and without added incentive, it is reasonable to assume they will not do it in the future.</w:t>
      </w:r>
    </w:p>
    <w:p w:rsidR="00254B15" w:rsidRDefault="00254B15" w:rsidP="00254B15">
      <w:pPr>
        <w:spacing w:after="240"/>
        <w:rPr>
          <w:rFonts w:ascii="Arial" w:hAnsi="Arial" w:cs="Arial"/>
        </w:rPr>
      </w:pPr>
      <w:r>
        <w:rPr>
          <w:rFonts w:ascii="Arial" w:hAnsi="Arial" w:cs="Arial"/>
        </w:rPr>
        <w:t xml:space="preserve">If suppliers voluntarily put effective mechanisms in place to ensure hazardous azo dyes are not used in direct and prolonged contact articles, </w:t>
      </w:r>
      <w:r w:rsidR="001313F8">
        <w:rPr>
          <w:rFonts w:ascii="Arial" w:hAnsi="Arial" w:cs="Arial"/>
        </w:rPr>
        <w:t>g</w:t>
      </w:r>
      <w:r w:rsidR="00EB671C">
        <w:rPr>
          <w:rFonts w:ascii="Arial" w:hAnsi="Arial" w:cs="Arial"/>
        </w:rPr>
        <w:t xml:space="preserve">overnment </w:t>
      </w:r>
      <w:r>
        <w:rPr>
          <w:rFonts w:ascii="Arial" w:hAnsi="Arial" w:cs="Arial"/>
        </w:rPr>
        <w:t>intervention may not be required. Based on ACCC discussion with Australian suppliers</w:t>
      </w:r>
      <w:r w:rsidR="00CF12A3">
        <w:rPr>
          <w:rFonts w:ascii="Arial" w:hAnsi="Arial" w:cs="Arial"/>
        </w:rPr>
        <w:t>,</w:t>
      </w:r>
      <w:r>
        <w:rPr>
          <w:rFonts w:ascii="Arial" w:hAnsi="Arial" w:cs="Arial"/>
        </w:rPr>
        <w:t xml:space="preserve"> some</w:t>
      </w:r>
      <w:r w:rsidR="00CF12A3">
        <w:rPr>
          <w:rFonts w:ascii="Arial" w:hAnsi="Arial" w:cs="Arial"/>
        </w:rPr>
        <w:t xml:space="preserve"> but not all,</w:t>
      </w:r>
      <w:r>
        <w:rPr>
          <w:rFonts w:ascii="Arial" w:hAnsi="Arial" w:cs="Arial"/>
        </w:rPr>
        <w:t xml:space="preserve"> businesses have initiated quality control measures and commenced testing to monitor direct and prolonged contact articles for hazardous azo dyes. This activity will need to be sustained</w:t>
      </w:r>
      <w:r w:rsidR="00CF12A3">
        <w:rPr>
          <w:rFonts w:ascii="Arial" w:hAnsi="Arial" w:cs="Arial"/>
        </w:rPr>
        <w:t xml:space="preserve"> and undertaken by all suppliers</w:t>
      </w:r>
      <w:r>
        <w:rPr>
          <w:rFonts w:ascii="Arial" w:hAnsi="Arial" w:cs="Arial"/>
        </w:rPr>
        <w:t xml:space="preserve"> for self-correction to occur </w:t>
      </w:r>
      <w:r w:rsidR="00EB671C">
        <w:rPr>
          <w:rFonts w:ascii="Arial" w:hAnsi="Arial" w:cs="Arial"/>
        </w:rPr>
        <w:t xml:space="preserve">and continue </w:t>
      </w:r>
      <w:r>
        <w:rPr>
          <w:rFonts w:ascii="Arial" w:hAnsi="Arial" w:cs="Arial"/>
        </w:rPr>
        <w:t xml:space="preserve">in the long term. </w:t>
      </w:r>
    </w:p>
    <w:p w:rsidR="00254B15" w:rsidRDefault="00254B15" w:rsidP="00254B15">
      <w:pPr>
        <w:spacing w:after="240"/>
        <w:rPr>
          <w:rFonts w:ascii="Arial" w:hAnsi="Arial" w:cs="Arial"/>
        </w:rPr>
      </w:pPr>
      <w:r>
        <w:rPr>
          <w:rFonts w:ascii="Arial" w:hAnsi="Arial" w:cs="Arial"/>
        </w:rPr>
        <w:t>While self-correction is desirable and arguably the most efficient solution to the use of hazardous azo dyes in direct and prolonged contact articles, as described above there are a number of impediments to self-correction. Where self-correction is unlikely or unsuccessful</w:t>
      </w:r>
      <w:r w:rsidRPr="00690F06">
        <w:rPr>
          <w:rFonts w:ascii="Arial" w:hAnsi="Arial" w:cs="Arial"/>
        </w:rPr>
        <w:t xml:space="preserve">, additional </w:t>
      </w:r>
      <w:r>
        <w:rPr>
          <w:rFonts w:ascii="Arial" w:hAnsi="Arial" w:cs="Arial"/>
        </w:rPr>
        <w:t>controls</w:t>
      </w:r>
      <w:r w:rsidRPr="00690F06">
        <w:rPr>
          <w:rFonts w:ascii="Arial" w:hAnsi="Arial" w:cs="Arial"/>
        </w:rPr>
        <w:t xml:space="preserve">, such as those outlined as options in this document, </w:t>
      </w:r>
      <w:r>
        <w:rPr>
          <w:rFonts w:ascii="Arial" w:hAnsi="Arial" w:cs="Arial"/>
        </w:rPr>
        <w:t xml:space="preserve">can be implemented </w:t>
      </w:r>
      <w:r w:rsidRPr="00690F06">
        <w:rPr>
          <w:rFonts w:ascii="Arial" w:hAnsi="Arial" w:cs="Arial"/>
        </w:rPr>
        <w:t xml:space="preserve">to complement the ACL’s general </w:t>
      </w:r>
      <w:r>
        <w:rPr>
          <w:rFonts w:ascii="Arial" w:hAnsi="Arial" w:cs="Arial"/>
        </w:rPr>
        <w:t xml:space="preserve">product safety </w:t>
      </w:r>
      <w:r w:rsidRPr="00690F06">
        <w:rPr>
          <w:rFonts w:ascii="Arial" w:hAnsi="Arial" w:cs="Arial"/>
        </w:rPr>
        <w:t xml:space="preserve">provisions </w:t>
      </w:r>
      <w:r>
        <w:rPr>
          <w:rFonts w:ascii="Arial" w:hAnsi="Arial" w:cs="Arial"/>
        </w:rPr>
        <w:t xml:space="preserve">to </w:t>
      </w:r>
      <w:r w:rsidR="00A270DD">
        <w:rPr>
          <w:rFonts w:ascii="Arial" w:hAnsi="Arial" w:cs="Arial"/>
        </w:rPr>
        <w:t xml:space="preserve">provide </w:t>
      </w:r>
      <w:r>
        <w:rPr>
          <w:rFonts w:ascii="Arial" w:hAnsi="Arial" w:cs="Arial"/>
        </w:rPr>
        <w:t>further</w:t>
      </w:r>
      <w:r w:rsidRPr="00690F06">
        <w:rPr>
          <w:rFonts w:ascii="Arial" w:hAnsi="Arial" w:cs="Arial"/>
        </w:rPr>
        <w:t xml:space="preserve"> incentiv</w:t>
      </w:r>
      <w:r w:rsidR="00A270DD">
        <w:rPr>
          <w:rFonts w:ascii="Arial" w:hAnsi="Arial" w:cs="Arial"/>
        </w:rPr>
        <w:t>e to</w:t>
      </w:r>
      <w:r w:rsidRPr="00690F06">
        <w:rPr>
          <w:rFonts w:ascii="Arial" w:hAnsi="Arial" w:cs="Arial"/>
        </w:rPr>
        <w:t xml:space="preserve"> supply safe consumer goods.</w:t>
      </w:r>
    </w:p>
    <w:p w:rsidR="005154CA" w:rsidRPr="00B85022" w:rsidRDefault="005154CA" w:rsidP="005154CA">
      <w:pPr>
        <w:keepNext/>
        <w:spacing w:after="240"/>
        <w:rPr>
          <w:rFonts w:ascii="Arial" w:hAnsi="Arial" w:cs="Arial"/>
          <w:b/>
        </w:rPr>
      </w:pPr>
      <w:r>
        <w:rPr>
          <w:rFonts w:ascii="Arial" w:hAnsi="Arial" w:cs="Arial"/>
          <w:b/>
        </w:rPr>
        <w:t xml:space="preserve">Managing online supply - </w:t>
      </w:r>
      <w:r w:rsidR="001313F8">
        <w:rPr>
          <w:rFonts w:ascii="Arial" w:hAnsi="Arial" w:cs="Arial"/>
          <w:b/>
        </w:rPr>
        <w:t>i</w:t>
      </w:r>
      <w:r>
        <w:rPr>
          <w:rFonts w:ascii="Arial" w:hAnsi="Arial" w:cs="Arial"/>
          <w:b/>
        </w:rPr>
        <w:t>ncreased liaison with border protection agencies and international regulators</w:t>
      </w:r>
    </w:p>
    <w:p w:rsidR="005154CA" w:rsidRDefault="005154CA" w:rsidP="005154CA">
      <w:pPr>
        <w:spacing w:after="240"/>
        <w:rPr>
          <w:rFonts w:ascii="Arial" w:hAnsi="Arial" w:cs="Arial"/>
        </w:rPr>
      </w:pPr>
      <w:r>
        <w:rPr>
          <w:rFonts w:ascii="Arial" w:hAnsi="Arial" w:cs="Arial"/>
        </w:rPr>
        <w:t xml:space="preserve">Domestic suppliers and consumers are increasingly purchasing products online from both domestic and international suppliers. </w:t>
      </w:r>
      <w:r w:rsidRPr="006C15E5">
        <w:rPr>
          <w:rFonts w:ascii="Arial" w:hAnsi="Arial" w:cs="Arial"/>
        </w:rPr>
        <w:t xml:space="preserve">All businesses supplying products to Australian consumers have obligations to supply safe products and comply with the ACL. This includes domestic companies, online suppliers and businesses </w:t>
      </w:r>
      <w:r>
        <w:rPr>
          <w:rFonts w:ascii="Arial" w:hAnsi="Arial" w:cs="Arial"/>
        </w:rPr>
        <w:t xml:space="preserve">operating </w:t>
      </w:r>
      <w:r w:rsidRPr="006C15E5">
        <w:rPr>
          <w:rFonts w:ascii="Arial" w:hAnsi="Arial" w:cs="Arial"/>
        </w:rPr>
        <w:t xml:space="preserve">outside Australia that supply products </w:t>
      </w:r>
      <w:r>
        <w:rPr>
          <w:rFonts w:ascii="Arial" w:hAnsi="Arial" w:cs="Arial"/>
        </w:rPr>
        <w:t xml:space="preserve">either </w:t>
      </w:r>
      <w:r w:rsidRPr="006C15E5">
        <w:rPr>
          <w:rFonts w:ascii="Arial" w:hAnsi="Arial" w:cs="Arial"/>
        </w:rPr>
        <w:t>to Australian</w:t>
      </w:r>
      <w:r>
        <w:rPr>
          <w:rFonts w:ascii="Arial" w:hAnsi="Arial" w:cs="Arial"/>
        </w:rPr>
        <w:t xml:space="preserve"> retailers for resupply or directly to consumers.</w:t>
      </w:r>
    </w:p>
    <w:p w:rsidR="002C5DD9" w:rsidRDefault="002C5DD9" w:rsidP="005154CA">
      <w:pPr>
        <w:spacing w:after="240"/>
        <w:rPr>
          <w:rFonts w:ascii="Arial" w:hAnsi="Arial" w:cs="Arial"/>
        </w:rPr>
      </w:pPr>
      <w:r w:rsidRPr="002C5DD9">
        <w:rPr>
          <w:rFonts w:ascii="Arial" w:hAnsi="Arial" w:cs="Arial"/>
        </w:rPr>
        <w:t>The ACCC is committed to enforcing the ACL and mandatory product safety regulations for products supplied in Australia</w:t>
      </w:r>
      <w:r w:rsidR="0071685D">
        <w:rPr>
          <w:rFonts w:ascii="Arial" w:hAnsi="Arial" w:cs="Arial"/>
        </w:rPr>
        <w:t xml:space="preserve">, regardless of </w:t>
      </w:r>
      <w:r w:rsidR="00085D25">
        <w:rPr>
          <w:rFonts w:ascii="Arial" w:hAnsi="Arial" w:cs="Arial"/>
        </w:rPr>
        <w:t>whether those products are supplied by businesses in Australia or overseas</w:t>
      </w:r>
      <w:r w:rsidRPr="002C5DD9">
        <w:rPr>
          <w:rFonts w:ascii="Arial" w:hAnsi="Arial" w:cs="Arial"/>
        </w:rPr>
        <w:t xml:space="preserve">. </w:t>
      </w:r>
    </w:p>
    <w:p w:rsidR="005154CA" w:rsidRDefault="005154CA" w:rsidP="005154CA">
      <w:pPr>
        <w:spacing w:after="240"/>
        <w:rPr>
          <w:rFonts w:ascii="Arial" w:hAnsi="Arial" w:cs="Arial"/>
        </w:rPr>
      </w:pPr>
      <w:r>
        <w:rPr>
          <w:rFonts w:ascii="Arial" w:hAnsi="Arial" w:cs="Arial"/>
        </w:rPr>
        <w:t xml:space="preserve">Online sales platforms can be hard to identify and engage with, making it </w:t>
      </w:r>
      <w:r w:rsidR="000E1291">
        <w:rPr>
          <w:rFonts w:ascii="Arial" w:hAnsi="Arial" w:cs="Arial"/>
        </w:rPr>
        <w:t xml:space="preserve">more </w:t>
      </w:r>
      <w:r>
        <w:rPr>
          <w:rFonts w:ascii="Arial" w:hAnsi="Arial" w:cs="Arial"/>
        </w:rPr>
        <w:t>difficult</w:t>
      </w:r>
      <w:r w:rsidR="000E1291">
        <w:rPr>
          <w:rFonts w:ascii="Arial" w:hAnsi="Arial" w:cs="Arial"/>
        </w:rPr>
        <w:t xml:space="preserve"> (relative to other traditional sales platforms)</w:t>
      </w:r>
      <w:r>
        <w:rPr>
          <w:rFonts w:ascii="Arial" w:hAnsi="Arial" w:cs="Arial"/>
        </w:rPr>
        <w:t xml:space="preserve"> for regulators to promote compliance with the ACL. While domestic online suppliers and traditional ‘bricks and mortar’ style businesses are well within reach of Australian consumer protection regulators, managing compliance in the international </w:t>
      </w:r>
      <w:r w:rsidR="001313F8">
        <w:rPr>
          <w:rFonts w:ascii="Arial" w:hAnsi="Arial" w:cs="Arial"/>
        </w:rPr>
        <w:t xml:space="preserve">arena </w:t>
      </w:r>
      <w:r>
        <w:rPr>
          <w:rFonts w:ascii="Arial" w:hAnsi="Arial" w:cs="Arial"/>
        </w:rPr>
        <w:t xml:space="preserve">is more challenging. </w:t>
      </w:r>
      <w:r w:rsidR="000E1291">
        <w:rPr>
          <w:rFonts w:ascii="Arial" w:hAnsi="Arial" w:cs="Arial"/>
        </w:rPr>
        <w:t xml:space="preserve">Nevertheless, </w:t>
      </w:r>
      <w:r>
        <w:rPr>
          <w:rFonts w:ascii="Arial" w:hAnsi="Arial" w:cs="Arial"/>
        </w:rPr>
        <w:t>there are several approaches available</w:t>
      </w:r>
      <w:r w:rsidR="000E1291">
        <w:rPr>
          <w:rFonts w:ascii="Arial" w:hAnsi="Arial" w:cs="Arial"/>
        </w:rPr>
        <w:t xml:space="preserve"> to the ACCC</w:t>
      </w:r>
      <w:r>
        <w:rPr>
          <w:rFonts w:ascii="Arial" w:hAnsi="Arial" w:cs="Arial"/>
        </w:rPr>
        <w:t xml:space="preserve"> to manag</w:t>
      </w:r>
      <w:r w:rsidR="000E1291">
        <w:rPr>
          <w:rFonts w:ascii="Arial" w:hAnsi="Arial" w:cs="Arial"/>
        </w:rPr>
        <w:t>ing</w:t>
      </w:r>
      <w:r>
        <w:rPr>
          <w:rFonts w:ascii="Arial" w:hAnsi="Arial" w:cs="Arial"/>
        </w:rPr>
        <w:t xml:space="preserve"> </w:t>
      </w:r>
      <w:r w:rsidR="000E1291">
        <w:rPr>
          <w:rFonts w:ascii="Arial" w:hAnsi="Arial" w:cs="Arial"/>
        </w:rPr>
        <w:t xml:space="preserve">and overcoming </w:t>
      </w:r>
      <w:r>
        <w:rPr>
          <w:rFonts w:ascii="Arial" w:hAnsi="Arial" w:cs="Arial"/>
        </w:rPr>
        <w:t xml:space="preserve">these challenges including: </w:t>
      </w:r>
    </w:p>
    <w:p w:rsidR="005154CA" w:rsidRDefault="00B8720B" w:rsidP="008B0121">
      <w:pPr>
        <w:numPr>
          <w:ilvl w:val="0"/>
          <w:numId w:val="46"/>
        </w:numPr>
        <w:spacing w:after="240"/>
        <w:ind w:left="567" w:hanging="567"/>
        <w:rPr>
          <w:rFonts w:ascii="Arial" w:hAnsi="Arial" w:cs="Arial"/>
        </w:rPr>
      </w:pPr>
      <w:r>
        <w:rPr>
          <w:rFonts w:ascii="Arial" w:hAnsi="Arial" w:cs="Arial"/>
        </w:rPr>
        <w:lastRenderedPageBreak/>
        <w:t>e</w:t>
      </w:r>
      <w:r w:rsidR="005154CA">
        <w:rPr>
          <w:rFonts w:ascii="Arial" w:hAnsi="Arial" w:cs="Arial"/>
        </w:rPr>
        <w:t xml:space="preserve">ngaging with the Australian </w:t>
      </w:r>
      <w:r w:rsidR="0071685D">
        <w:rPr>
          <w:rFonts w:ascii="Arial" w:hAnsi="Arial" w:cs="Arial"/>
        </w:rPr>
        <w:t xml:space="preserve">Customs and </w:t>
      </w:r>
      <w:r w:rsidR="005154CA">
        <w:rPr>
          <w:rFonts w:ascii="Arial" w:hAnsi="Arial" w:cs="Arial"/>
        </w:rPr>
        <w:t>Border Protection</w:t>
      </w:r>
      <w:r w:rsidR="0071685D">
        <w:rPr>
          <w:rFonts w:ascii="Arial" w:hAnsi="Arial" w:cs="Arial"/>
        </w:rPr>
        <w:t xml:space="preserve"> </w:t>
      </w:r>
      <w:r w:rsidR="005154CA">
        <w:rPr>
          <w:rFonts w:ascii="Arial" w:hAnsi="Arial" w:cs="Arial"/>
        </w:rPr>
        <w:t>Service and Australia Post to</w:t>
      </w:r>
      <w:r w:rsidR="005154CA" w:rsidRPr="00715F4D">
        <w:rPr>
          <w:rFonts w:ascii="Arial" w:hAnsi="Arial" w:cs="Arial"/>
        </w:rPr>
        <w:t xml:space="preserve"> </w:t>
      </w:r>
      <w:r w:rsidR="005154CA">
        <w:rPr>
          <w:rFonts w:ascii="Arial" w:hAnsi="Arial" w:cs="Arial"/>
        </w:rPr>
        <w:t xml:space="preserve">identify and prevent </w:t>
      </w:r>
      <w:r>
        <w:rPr>
          <w:rFonts w:ascii="Arial" w:hAnsi="Arial" w:cs="Arial"/>
        </w:rPr>
        <w:t>the importation of unsafe goods</w:t>
      </w:r>
    </w:p>
    <w:p w:rsidR="005154CA" w:rsidRDefault="00B8720B" w:rsidP="008B0121">
      <w:pPr>
        <w:numPr>
          <w:ilvl w:val="0"/>
          <w:numId w:val="46"/>
        </w:numPr>
        <w:spacing w:after="240"/>
        <w:ind w:left="567" w:hanging="567"/>
        <w:rPr>
          <w:rFonts w:ascii="Arial" w:hAnsi="Arial" w:cs="Arial"/>
        </w:rPr>
      </w:pPr>
      <w:r>
        <w:rPr>
          <w:rFonts w:ascii="Arial" w:hAnsi="Arial" w:cs="Arial"/>
        </w:rPr>
        <w:t>u</w:t>
      </w:r>
      <w:r w:rsidR="005154CA">
        <w:rPr>
          <w:rFonts w:ascii="Arial" w:hAnsi="Arial" w:cs="Arial"/>
        </w:rPr>
        <w:t xml:space="preserve">sing various </w:t>
      </w:r>
      <w:r w:rsidR="001313F8">
        <w:rPr>
          <w:rFonts w:ascii="Arial" w:hAnsi="Arial" w:cs="Arial"/>
        </w:rPr>
        <w:t>g</w:t>
      </w:r>
      <w:r w:rsidR="005154CA">
        <w:rPr>
          <w:rFonts w:ascii="Arial" w:hAnsi="Arial" w:cs="Arial"/>
        </w:rPr>
        <w:t>overnment intelligence gathering agencies to identify unscr</w:t>
      </w:r>
      <w:r w:rsidR="008B0121">
        <w:rPr>
          <w:rFonts w:ascii="Arial" w:hAnsi="Arial" w:cs="Arial"/>
        </w:rPr>
        <w:t>upulous inter</w:t>
      </w:r>
      <w:r>
        <w:rPr>
          <w:rFonts w:ascii="Arial" w:hAnsi="Arial" w:cs="Arial"/>
        </w:rPr>
        <w:t>national suppliers</w:t>
      </w:r>
    </w:p>
    <w:p w:rsidR="005154CA" w:rsidRDefault="00B8720B" w:rsidP="008B0121">
      <w:pPr>
        <w:numPr>
          <w:ilvl w:val="0"/>
          <w:numId w:val="46"/>
        </w:numPr>
        <w:spacing w:after="240"/>
        <w:ind w:left="567" w:hanging="567"/>
        <w:rPr>
          <w:rFonts w:ascii="Arial" w:hAnsi="Arial" w:cs="Arial"/>
        </w:rPr>
      </w:pPr>
      <w:r>
        <w:rPr>
          <w:rFonts w:ascii="Arial" w:hAnsi="Arial" w:cs="Arial"/>
        </w:rPr>
        <w:t>u</w:t>
      </w:r>
      <w:r w:rsidR="005154CA">
        <w:rPr>
          <w:rFonts w:ascii="Arial" w:hAnsi="Arial" w:cs="Arial"/>
        </w:rPr>
        <w:t>sing existing relationships with international regulators to share intelligence and where possible take action against</w:t>
      </w:r>
      <w:r w:rsidR="0071685D">
        <w:rPr>
          <w:rFonts w:ascii="Arial" w:hAnsi="Arial" w:cs="Arial"/>
        </w:rPr>
        <w:t xml:space="preserve"> non-compliant</w:t>
      </w:r>
      <w:r w:rsidR="005154CA">
        <w:rPr>
          <w:rFonts w:ascii="Arial" w:hAnsi="Arial" w:cs="Arial"/>
        </w:rPr>
        <w:t xml:space="preserve"> international suppliers</w:t>
      </w:r>
    </w:p>
    <w:p w:rsidR="00B8720B" w:rsidRPr="00B8720B" w:rsidRDefault="00B8720B" w:rsidP="00B8720B">
      <w:pPr>
        <w:numPr>
          <w:ilvl w:val="0"/>
          <w:numId w:val="46"/>
        </w:numPr>
        <w:spacing w:after="240"/>
        <w:ind w:left="567" w:hanging="567"/>
        <w:rPr>
          <w:rFonts w:ascii="Arial" w:hAnsi="Arial" w:cs="Arial"/>
        </w:rPr>
      </w:pPr>
      <w:r>
        <w:rPr>
          <w:rFonts w:ascii="Arial" w:hAnsi="Arial" w:cs="Arial"/>
        </w:rPr>
        <w:t>a</w:t>
      </w:r>
      <w:r w:rsidR="005154CA">
        <w:rPr>
          <w:rFonts w:ascii="Arial" w:hAnsi="Arial" w:cs="Arial"/>
        </w:rPr>
        <w:t>lerting Australian consumers to the risks associated with buying direct and prolonged contact articles directly from overseas suppliers and highlight</w:t>
      </w:r>
      <w:r w:rsidR="000621D4">
        <w:rPr>
          <w:rFonts w:ascii="Arial" w:hAnsi="Arial" w:cs="Arial"/>
        </w:rPr>
        <w:t xml:space="preserve"> that</w:t>
      </w:r>
      <w:r w:rsidR="005154CA">
        <w:rPr>
          <w:rFonts w:ascii="Arial" w:hAnsi="Arial" w:cs="Arial"/>
        </w:rPr>
        <w:t xml:space="preserve"> the consumer rights they enj</w:t>
      </w:r>
      <w:r w:rsidR="000621D4">
        <w:rPr>
          <w:rFonts w:ascii="Arial" w:hAnsi="Arial" w:cs="Arial"/>
        </w:rPr>
        <w:t>oy when purchasing in Australia</w:t>
      </w:r>
      <w:r w:rsidR="005154CA">
        <w:rPr>
          <w:rFonts w:ascii="Arial" w:hAnsi="Arial" w:cs="Arial"/>
        </w:rPr>
        <w:t xml:space="preserve"> may be more difficult to </w:t>
      </w:r>
      <w:r w:rsidR="0071685D">
        <w:rPr>
          <w:rFonts w:ascii="Arial" w:hAnsi="Arial" w:cs="Arial"/>
        </w:rPr>
        <w:t>exercise</w:t>
      </w:r>
      <w:r w:rsidR="005154CA">
        <w:rPr>
          <w:rFonts w:ascii="Arial" w:hAnsi="Arial" w:cs="Arial"/>
        </w:rPr>
        <w:t xml:space="preserve"> </w:t>
      </w:r>
      <w:r w:rsidR="000621D4">
        <w:rPr>
          <w:rFonts w:ascii="Arial" w:hAnsi="Arial" w:cs="Arial"/>
        </w:rPr>
        <w:t xml:space="preserve">when </w:t>
      </w:r>
      <w:r w:rsidR="005154CA" w:rsidRPr="002C40A9">
        <w:rPr>
          <w:rFonts w:ascii="Arial" w:hAnsi="Arial" w:cs="Arial"/>
        </w:rPr>
        <w:t xml:space="preserve">purchasing directly </w:t>
      </w:r>
      <w:r w:rsidR="008B0121">
        <w:rPr>
          <w:rFonts w:ascii="Arial" w:hAnsi="Arial" w:cs="Arial"/>
        </w:rPr>
        <w:t xml:space="preserve">from </w:t>
      </w:r>
      <w:r>
        <w:rPr>
          <w:rFonts w:ascii="Arial" w:hAnsi="Arial" w:cs="Arial"/>
        </w:rPr>
        <w:t>overseas</w:t>
      </w:r>
    </w:p>
    <w:p w:rsidR="002C5DD9" w:rsidRDefault="002C5DD9" w:rsidP="00D330EE">
      <w:pPr>
        <w:spacing w:after="240"/>
        <w:rPr>
          <w:rFonts w:ascii="Arial" w:hAnsi="Arial" w:cs="Arial"/>
        </w:rPr>
      </w:pPr>
      <w:r w:rsidRPr="002C5DD9">
        <w:rPr>
          <w:rFonts w:ascii="Arial" w:hAnsi="Arial" w:cs="Arial"/>
        </w:rPr>
        <w:t>The view of the ACCC is that all businesses supplying products to Australian consumers, including online busines</w:t>
      </w:r>
      <w:r w:rsidR="00B41432">
        <w:rPr>
          <w:rFonts w:ascii="Arial" w:hAnsi="Arial" w:cs="Arial"/>
        </w:rPr>
        <w:t xml:space="preserve">ses, must comply with the ACL. </w:t>
      </w:r>
      <w:r w:rsidRPr="002C5DD9">
        <w:rPr>
          <w:rFonts w:ascii="Arial" w:hAnsi="Arial" w:cs="Arial"/>
        </w:rPr>
        <w:t>This includes both Australia’s product safety laws (including bans and mandatory safety standards, product recalls, mandatory reporting of product</w:t>
      </w:r>
      <w:r w:rsidRPr="002C5DD9">
        <w:rPr>
          <w:rFonts w:ascii="MS Gothic" w:eastAsia="MS Gothic" w:hAnsi="MS Gothic" w:cs="MS Gothic" w:hint="eastAsia"/>
        </w:rPr>
        <w:t>‑</w:t>
      </w:r>
      <w:r w:rsidRPr="002C5DD9">
        <w:rPr>
          <w:rFonts w:ascii="Arial" w:hAnsi="Arial" w:cs="Arial"/>
        </w:rPr>
        <w:t xml:space="preserve">related illness, injury or death) and other important consumer protection laws (including consumer guarantees, laws against misleading or deceptive conduct and false or misleading claims). </w:t>
      </w:r>
    </w:p>
    <w:p w:rsidR="00254B15" w:rsidRPr="00AE57D0" w:rsidRDefault="00254B15" w:rsidP="00254B15">
      <w:pPr>
        <w:keepNext/>
        <w:spacing w:after="240"/>
        <w:rPr>
          <w:rFonts w:ascii="Arial" w:hAnsi="Arial" w:cs="Arial"/>
          <w:b/>
        </w:rPr>
      </w:pPr>
      <w:r w:rsidRPr="00AE57D0">
        <w:rPr>
          <w:rFonts w:ascii="Arial" w:hAnsi="Arial" w:cs="Arial"/>
          <w:b/>
        </w:rPr>
        <w:t>What is the likelihood that the problem will be completely solved?</w:t>
      </w:r>
    </w:p>
    <w:p w:rsidR="00254B15" w:rsidRPr="00A3716C" w:rsidRDefault="00254B15" w:rsidP="00254B15">
      <w:pPr>
        <w:spacing w:after="240"/>
        <w:rPr>
          <w:rFonts w:ascii="Arial" w:hAnsi="Arial" w:cs="Arial"/>
        </w:rPr>
      </w:pPr>
      <w:r w:rsidRPr="00AE57D0">
        <w:rPr>
          <w:rFonts w:ascii="Arial" w:hAnsi="Arial" w:cs="Arial"/>
        </w:rPr>
        <w:t>Despite the best efforts of both regulators and suppliers, it is possible that a small number of direct and prolonged contact articles will continue to be supplied containing hazardous azo dyes. Quality control processes can fail and it is impractical to test every article before supply. Therefore, it may not be possible to ensure that all articles supplied are free of hazardous</w:t>
      </w:r>
      <w:r w:rsidR="00665A36">
        <w:rPr>
          <w:rFonts w:ascii="Arial" w:hAnsi="Arial" w:cs="Arial"/>
        </w:rPr>
        <w:t xml:space="preserve"> azo</w:t>
      </w:r>
      <w:r w:rsidRPr="00AE57D0">
        <w:rPr>
          <w:rFonts w:ascii="Arial" w:hAnsi="Arial" w:cs="Arial"/>
        </w:rPr>
        <w:t xml:space="preserve"> dyes. It is the ACCC’s experience with surveillance of other regulated goods that there are instances where, for a number of reasons, products continue to fail to meet </w:t>
      </w:r>
      <w:r w:rsidRPr="00A3716C">
        <w:rPr>
          <w:rFonts w:ascii="Arial" w:hAnsi="Arial" w:cs="Arial"/>
        </w:rPr>
        <w:t>regulatory requirements.</w:t>
      </w:r>
    </w:p>
    <w:p w:rsidR="00A3716C" w:rsidRPr="000621D4" w:rsidRDefault="00A3716C" w:rsidP="00A3716C">
      <w:pPr>
        <w:spacing w:after="240"/>
        <w:rPr>
          <w:rFonts w:ascii="Arial" w:hAnsi="Arial" w:cs="Arial"/>
        </w:rPr>
      </w:pPr>
      <w:r w:rsidRPr="00B7209D">
        <w:rPr>
          <w:rFonts w:ascii="Arial" w:hAnsi="Arial" w:cs="Arial"/>
        </w:rPr>
        <w:t>RAPEX recall data provided earlier</w:t>
      </w:r>
      <w:r w:rsidR="000621D4">
        <w:rPr>
          <w:rFonts w:ascii="Arial" w:hAnsi="Arial" w:cs="Arial"/>
        </w:rPr>
        <w:t xml:space="preserve"> in this paper</w:t>
      </w:r>
      <w:r w:rsidRPr="00B7209D">
        <w:rPr>
          <w:rFonts w:ascii="Arial" w:hAnsi="Arial" w:cs="Arial"/>
        </w:rPr>
        <w:t xml:space="preserve"> and the identification of school uniforms dyed with hazardous dyes in China highlight that clothing and textiles containing hazardous dyes are still identified in Europe and China despite regulation </w:t>
      </w:r>
      <w:r w:rsidRPr="000621D4">
        <w:rPr>
          <w:rFonts w:ascii="Arial" w:hAnsi="Arial" w:cs="Arial"/>
        </w:rPr>
        <w:t xml:space="preserve">in </w:t>
      </w:r>
      <w:r w:rsidR="000621D4" w:rsidRPr="000621D4">
        <w:rPr>
          <w:rFonts w:ascii="Arial" w:hAnsi="Arial" w:cs="Arial"/>
        </w:rPr>
        <w:t xml:space="preserve">both </w:t>
      </w:r>
      <w:r w:rsidRPr="00B7209D">
        <w:rPr>
          <w:rFonts w:ascii="Arial" w:hAnsi="Arial" w:cs="Arial"/>
        </w:rPr>
        <w:t xml:space="preserve">those jurisdictions. </w:t>
      </w:r>
    </w:p>
    <w:p w:rsidR="00254B15" w:rsidRDefault="00A3716C" w:rsidP="00254B15">
      <w:pPr>
        <w:spacing w:after="240"/>
        <w:rPr>
          <w:rFonts w:ascii="Arial" w:hAnsi="Arial" w:cs="Arial"/>
        </w:rPr>
      </w:pPr>
      <w:r w:rsidRPr="000621D4">
        <w:rPr>
          <w:rFonts w:ascii="Arial" w:hAnsi="Arial" w:cs="Arial"/>
        </w:rPr>
        <w:t>E</w:t>
      </w:r>
      <w:r w:rsidR="00254B15" w:rsidRPr="000621D4">
        <w:rPr>
          <w:rFonts w:ascii="Arial" w:hAnsi="Arial" w:cs="Arial"/>
        </w:rPr>
        <w:t xml:space="preserve">ven with additional controls in place in Australia, it is unlikely that the problem will be completely solved. However, </w:t>
      </w:r>
      <w:r w:rsidR="003F50CB">
        <w:rPr>
          <w:rFonts w:ascii="Arial" w:hAnsi="Arial" w:cs="Arial"/>
        </w:rPr>
        <w:t>it may be possible to further reduce the likelihood of consumer exposure to hazardous azo dyes in direct and prolonged contact articles via the options discussed in this draft RIS.</w:t>
      </w:r>
      <w:r w:rsidR="00254B15">
        <w:rPr>
          <w:rFonts w:ascii="Arial" w:hAnsi="Arial" w:cs="Arial"/>
        </w:rPr>
        <w:t xml:space="preserve"> </w:t>
      </w:r>
    </w:p>
    <w:p w:rsidR="00756F17" w:rsidRPr="00650047" w:rsidRDefault="00756F17" w:rsidP="00756F17">
      <w:pPr>
        <w:rPr>
          <w:rFonts w:ascii="Arial" w:hAnsi="Arial" w:cs="Arial"/>
          <w:b/>
          <w:sz w:val="24"/>
          <w:szCs w:val="24"/>
        </w:rPr>
      </w:pPr>
      <w:r w:rsidRPr="00650047">
        <w:rPr>
          <w:rFonts w:ascii="Arial" w:hAnsi="Arial" w:cs="Arial"/>
          <w:b/>
          <w:sz w:val="24"/>
          <w:szCs w:val="24"/>
        </w:rPr>
        <w:t>Additional legislative controls</w:t>
      </w:r>
    </w:p>
    <w:p w:rsidR="000621D4" w:rsidRDefault="00756F17" w:rsidP="00756F17">
      <w:pPr>
        <w:spacing w:before="240" w:after="240"/>
        <w:rPr>
          <w:rFonts w:ascii="Arial" w:hAnsi="Arial" w:cs="Arial"/>
        </w:rPr>
      </w:pPr>
      <w:r w:rsidRPr="00690F06">
        <w:rPr>
          <w:rFonts w:ascii="Arial" w:hAnsi="Arial" w:cs="Arial"/>
        </w:rPr>
        <w:t xml:space="preserve">In the event that Australian suppliers, for whatever reason, are unable to </w:t>
      </w:r>
      <w:r>
        <w:rPr>
          <w:rFonts w:ascii="Arial" w:hAnsi="Arial" w:cs="Arial"/>
        </w:rPr>
        <w:t>rectify the problem through</w:t>
      </w:r>
      <w:r w:rsidRPr="00690F06">
        <w:rPr>
          <w:rFonts w:ascii="Arial" w:hAnsi="Arial" w:cs="Arial"/>
        </w:rPr>
        <w:t xml:space="preserve"> </w:t>
      </w:r>
      <w:r>
        <w:rPr>
          <w:rFonts w:ascii="Arial" w:hAnsi="Arial" w:cs="Arial"/>
        </w:rPr>
        <w:t xml:space="preserve">industry </w:t>
      </w:r>
      <w:r w:rsidRPr="00690F06">
        <w:rPr>
          <w:rFonts w:ascii="Arial" w:hAnsi="Arial" w:cs="Arial"/>
        </w:rPr>
        <w:t>self-regulation, other measures may</w:t>
      </w:r>
      <w:r w:rsidR="000621D4">
        <w:rPr>
          <w:rFonts w:ascii="Arial" w:hAnsi="Arial" w:cs="Arial"/>
        </w:rPr>
        <w:t xml:space="preserve"> be required to</w:t>
      </w:r>
      <w:r w:rsidRPr="00690F06">
        <w:rPr>
          <w:rFonts w:ascii="Arial" w:hAnsi="Arial" w:cs="Arial"/>
        </w:rPr>
        <w:t xml:space="preserve"> protect consumers. </w:t>
      </w:r>
    </w:p>
    <w:p w:rsidR="00756F17" w:rsidRPr="00690F06" w:rsidRDefault="00756F17" w:rsidP="00756F17">
      <w:pPr>
        <w:spacing w:before="240" w:after="240"/>
        <w:rPr>
          <w:rFonts w:ascii="Arial" w:hAnsi="Arial" w:cs="Arial"/>
        </w:rPr>
      </w:pPr>
      <w:r w:rsidRPr="00690F06">
        <w:rPr>
          <w:rFonts w:ascii="Arial" w:hAnsi="Arial" w:cs="Arial"/>
        </w:rPr>
        <w:t>Governments worldwide develop laws and regulations to deal with negative externalities</w:t>
      </w:r>
      <w:r>
        <w:rPr>
          <w:rStyle w:val="FootnoteReference"/>
          <w:rFonts w:ascii="Arial" w:hAnsi="Arial" w:cs="Arial"/>
        </w:rPr>
        <w:footnoteReference w:id="33"/>
      </w:r>
      <w:r w:rsidRPr="00690F06">
        <w:rPr>
          <w:rFonts w:ascii="Arial" w:hAnsi="Arial" w:cs="Arial"/>
        </w:rPr>
        <w:t xml:space="preserve"> </w:t>
      </w:r>
      <w:r w:rsidR="00665A36">
        <w:rPr>
          <w:rFonts w:ascii="Arial" w:hAnsi="Arial" w:cs="Arial"/>
        </w:rPr>
        <w:t>by</w:t>
      </w:r>
      <w:r w:rsidR="00665A36" w:rsidRPr="00690F06">
        <w:rPr>
          <w:rFonts w:ascii="Arial" w:hAnsi="Arial" w:cs="Arial"/>
        </w:rPr>
        <w:t xml:space="preserve"> </w:t>
      </w:r>
      <w:r w:rsidRPr="00690F06">
        <w:rPr>
          <w:rFonts w:ascii="Arial" w:hAnsi="Arial" w:cs="Arial"/>
        </w:rPr>
        <w:t>regulating the activity</w:t>
      </w:r>
      <w:r w:rsidR="00665A36">
        <w:rPr>
          <w:rFonts w:ascii="Arial" w:hAnsi="Arial" w:cs="Arial"/>
        </w:rPr>
        <w:t xml:space="preserve">, </w:t>
      </w:r>
      <w:r w:rsidRPr="00690F06">
        <w:rPr>
          <w:rFonts w:ascii="Arial" w:hAnsi="Arial" w:cs="Arial"/>
        </w:rPr>
        <w:t>regulating production</w:t>
      </w:r>
      <w:r w:rsidR="00665A36">
        <w:rPr>
          <w:rFonts w:ascii="Arial" w:hAnsi="Arial" w:cs="Arial"/>
        </w:rPr>
        <w:t xml:space="preserve"> processes and inputs</w:t>
      </w:r>
      <w:r w:rsidRPr="00690F06">
        <w:rPr>
          <w:rFonts w:ascii="Arial" w:hAnsi="Arial" w:cs="Arial"/>
        </w:rPr>
        <w:t xml:space="preserve"> and directly regulating the externality.</w:t>
      </w:r>
      <w:r w:rsidRPr="00690F06">
        <w:rPr>
          <w:rStyle w:val="FootnoteReference"/>
          <w:rFonts w:ascii="Arial" w:hAnsi="Arial" w:cs="Arial"/>
        </w:rPr>
        <w:footnoteReference w:id="34"/>
      </w:r>
      <w:r w:rsidRPr="00690F06">
        <w:rPr>
          <w:rFonts w:ascii="Arial" w:hAnsi="Arial" w:cs="Arial"/>
        </w:rPr>
        <w:t xml:space="preserve"> In this case the externality is the unnecessary and avoidable exposure to hazardous aromatic amines via direct and prolonged contact articles.</w:t>
      </w:r>
      <w:r w:rsidRPr="00225015">
        <w:rPr>
          <w:rFonts w:ascii="Arial" w:hAnsi="Arial" w:cs="Arial"/>
        </w:rPr>
        <w:t xml:space="preserve"> </w:t>
      </w:r>
    </w:p>
    <w:p w:rsidR="003B3288" w:rsidRDefault="00756F17" w:rsidP="00B11D05">
      <w:pPr>
        <w:spacing w:after="240"/>
        <w:rPr>
          <w:rFonts w:ascii="Arial" w:hAnsi="Arial" w:cs="Arial"/>
        </w:rPr>
      </w:pPr>
      <w:r w:rsidRPr="00690F06">
        <w:rPr>
          <w:rFonts w:ascii="Arial" w:hAnsi="Arial" w:cs="Arial"/>
        </w:rPr>
        <w:lastRenderedPageBreak/>
        <w:t xml:space="preserve">Regulating the activity that creates the externality and regulating production processes and inputs is, in this case, impractical as these activities are conducted outside of Australia and successfully applying the ACL to these entities may be difficult. </w:t>
      </w:r>
    </w:p>
    <w:p w:rsidR="000621D4" w:rsidRDefault="00756F17" w:rsidP="00B11D05">
      <w:pPr>
        <w:spacing w:after="240"/>
        <w:rPr>
          <w:rFonts w:ascii="Arial" w:hAnsi="Arial" w:cs="Arial"/>
        </w:rPr>
      </w:pPr>
      <w:r w:rsidRPr="00690F06">
        <w:rPr>
          <w:rFonts w:ascii="Arial" w:hAnsi="Arial" w:cs="Arial"/>
        </w:rPr>
        <w:t>Where regulation is necessary, directly regulating the externality addresses the problem by setting or prescribing limits and would allow each Australian supplier to decide how to comply with regulation</w:t>
      </w:r>
      <w:r>
        <w:rPr>
          <w:rFonts w:ascii="Arial" w:hAnsi="Arial" w:cs="Arial"/>
        </w:rPr>
        <w:t xml:space="preserve"> to</w:t>
      </w:r>
      <w:r w:rsidRPr="00690F06">
        <w:rPr>
          <w:rFonts w:ascii="Arial" w:hAnsi="Arial" w:cs="Arial"/>
        </w:rPr>
        <w:t xml:space="preserve"> minimis</w:t>
      </w:r>
      <w:r>
        <w:rPr>
          <w:rFonts w:ascii="Arial" w:hAnsi="Arial" w:cs="Arial"/>
        </w:rPr>
        <w:t>e</w:t>
      </w:r>
      <w:r w:rsidRPr="00690F06">
        <w:rPr>
          <w:rFonts w:ascii="Arial" w:hAnsi="Arial" w:cs="Arial"/>
        </w:rPr>
        <w:t xml:space="preserve"> consumer exposure. </w:t>
      </w:r>
    </w:p>
    <w:p w:rsidR="000621D4" w:rsidRDefault="000621D4" w:rsidP="000621D4">
      <w:pPr>
        <w:keepNext/>
        <w:spacing w:after="240"/>
        <w:rPr>
          <w:rFonts w:ascii="Arial" w:hAnsi="Arial" w:cs="Arial"/>
          <w:b/>
        </w:rPr>
      </w:pPr>
      <w:r>
        <w:rPr>
          <w:rFonts w:ascii="Arial" w:hAnsi="Arial" w:cs="Arial"/>
          <w:b/>
        </w:rPr>
        <w:t>C</w:t>
      </w:r>
      <w:r w:rsidRPr="00A94C74">
        <w:rPr>
          <w:rFonts w:ascii="Arial" w:hAnsi="Arial" w:cs="Arial"/>
          <w:b/>
        </w:rPr>
        <w:t>onsumer</w:t>
      </w:r>
      <w:r>
        <w:rPr>
          <w:rFonts w:ascii="Arial" w:hAnsi="Arial" w:cs="Arial"/>
          <w:b/>
        </w:rPr>
        <w:t xml:space="preserve"> willingness to pay</w:t>
      </w:r>
      <w:r w:rsidRPr="00A94C74">
        <w:rPr>
          <w:rFonts w:ascii="Arial" w:hAnsi="Arial" w:cs="Arial"/>
          <w:b/>
        </w:rPr>
        <w:t xml:space="preserve"> </w:t>
      </w:r>
      <w:r>
        <w:rPr>
          <w:rFonts w:ascii="Arial" w:hAnsi="Arial" w:cs="Arial"/>
          <w:b/>
        </w:rPr>
        <w:t xml:space="preserve">for </w:t>
      </w:r>
      <w:r w:rsidRPr="00A94C74">
        <w:rPr>
          <w:rFonts w:ascii="Arial" w:hAnsi="Arial" w:cs="Arial"/>
          <w:b/>
        </w:rPr>
        <w:t>any additional cost of regulation</w:t>
      </w:r>
    </w:p>
    <w:p w:rsidR="003B3288" w:rsidRDefault="000621D4" w:rsidP="000621D4">
      <w:pPr>
        <w:spacing w:after="240"/>
        <w:rPr>
          <w:rFonts w:ascii="Arial" w:hAnsi="Arial" w:cs="Arial"/>
        </w:rPr>
      </w:pPr>
      <w:r>
        <w:rPr>
          <w:rFonts w:ascii="Arial" w:hAnsi="Arial" w:cs="Arial"/>
        </w:rPr>
        <w:t>A</w:t>
      </w:r>
      <w:r w:rsidRPr="00D26183">
        <w:rPr>
          <w:rFonts w:ascii="Arial" w:hAnsi="Arial" w:cs="Arial"/>
        </w:rPr>
        <w:t xml:space="preserve">dditional </w:t>
      </w:r>
      <w:r>
        <w:rPr>
          <w:rFonts w:ascii="Arial" w:hAnsi="Arial" w:cs="Arial"/>
        </w:rPr>
        <w:t xml:space="preserve">regulatory </w:t>
      </w:r>
      <w:r w:rsidRPr="00D26183">
        <w:rPr>
          <w:rFonts w:ascii="Arial" w:hAnsi="Arial" w:cs="Arial"/>
        </w:rPr>
        <w:t xml:space="preserve">costs </w:t>
      </w:r>
      <w:r w:rsidR="003B3288">
        <w:rPr>
          <w:rFonts w:ascii="Arial" w:hAnsi="Arial" w:cs="Arial"/>
        </w:rPr>
        <w:t>may</w:t>
      </w:r>
      <w:r w:rsidRPr="00D26183">
        <w:rPr>
          <w:rFonts w:ascii="Arial" w:hAnsi="Arial" w:cs="Arial"/>
        </w:rPr>
        <w:t xml:space="preserve"> be passed on to consumers</w:t>
      </w:r>
      <w:r>
        <w:rPr>
          <w:rFonts w:ascii="Arial" w:hAnsi="Arial" w:cs="Arial"/>
        </w:rPr>
        <w:t>, and s</w:t>
      </w:r>
      <w:r w:rsidRPr="00D26183">
        <w:rPr>
          <w:rFonts w:ascii="Arial" w:hAnsi="Arial" w:cs="Arial"/>
        </w:rPr>
        <w:t>tudies of consumer behaviour consistently show that price is a major purchasing criteri</w:t>
      </w:r>
      <w:r>
        <w:rPr>
          <w:rFonts w:ascii="Arial" w:hAnsi="Arial" w:cs="Arial"/>
        </w:rPr>
        <w:t>on</w:t>
      </w:r>
      <w:r w:rsidRPr="00D26183">
        <w:rPr>
          <w:rFonts w:ascii="Arial" w:hAnsi="Arial" w:cs="Arial"/>
        </w:rPr>
        <w:t xml:space="preserve"> </w:t>
      </w:r>
      <w:r>
        <w:rPr>
          <w:rFonts w:ascii="Arial" w:hAnsi="Arial" w:cs="Arial"/>
        </w:rPr>
        <w:t>a</w:t>
      </w:r>
      <w:r w:rsidRPr="00D26183">
        <w:rPr>
          <w:rFonts w:ascii="Arial" w:hAnsi="Arial" w:cs="Arial"/>
        </w:rPr>
        <w:t>nd consumers are very sensitive to price changes.</w:t>
      </w:r>
      <w:r w:rsidRPr="00F933AC">
        <w:rPr>
          <w:rStyle w:val="FootnoteReference"/>
        </w:rPr>
        <w:footnoteReference w:id="35"/>
      </w:r>
      <w:r>
        <w:rPr>
          <w:rFonts w:ascii="Arial" w:hAnsi="Arial" w:cs="Arial"/>
        </w:rPr>
        <w:t xml:space="preserve"> However, s</w:t>
      </w:r>
      <w:r w:rsidRPr="00D26183">
        <w:rPr>
          <w:rFonts w:ascii="Arial" w:hAnsi="Arial" w:cs="Arial"/>
        </w:rPr>
        <w:t xml:space="preserve">ome consumers are </w:t>
      </w:r>
      <w:r>
        <w:rPr>
          <w:rFonts w:ascii="Arial" w:hAnsi="Arial" w:cs="Arial"/>
        </w:rPr>
        <w:t xml:space="preserve">also </w:t>
      </w:r>
      <w:r w:rsidRPr="00D26183">
        <w:rPr>
          <w:rFonts w:ascii="Arial" w:hAnsi="Arial" w:cs="Arial"/>
        </w:rPr>
        <w:t>prepared to pay more for perceived benefits</w:t>
      </w:r>
      <w:r>
        <w:rPr>
          <w:rFonts w:ascii="Arial" w:hAnsi="Arial" w:cs="Arial"/>
        </w:rPr>
        <w:t>.</w:t>
      </w:r>
      <w:r w:rsidRPr="00D26183">
        <w:rPr>
          <w:rFonts w:ascii="Arial" w:hAnsi="Arial" w:cs="Arial"/>
        </w:rPr>
        <w:t xml:space="preserve"> Whether Australian consumers are willing to pay more for articles </w:t>
      </w:r>
      <w:r w:rsidR="00DB7718">
        <w:rPr>
          <w:rFonts w:ascii="Arial" w:hAnsi="Arial" w:cs="Arial"/>
        </w:rPr>
        <w:t>that</w:t>
      </w:r>
      <w:r w:rsidR="003B3288">
        <w:rPr>
          <w:rFonts w:ascii="Arial" w:hAnsi="Arial" w:cs="Arial"/>
        </w:rPr>
        <w:t xml:space="preserve"> are </w:t>
      </w:r>
      <w:r w:rsidRPr="00D26183">
        <w:rPr>
          <w:rFonts w:ascii="Arial" w:hAnsi="Arial" w:cs="Arial"/>
        </w:rPr>
        <w:t xml:space="preserve">subject to additional controls aimed at reducing the likelihood </w:t>
      </w:r>
      <w:r w:rsidR="003B3288">
        <w:rPr>
          <w:rFonts w:ascii="Arial" w:hAnsi="Arial" w:cs="Arial"/>
        </w:rPr>
        <w:t xml:space="preserve">of consumer exposure to </w:t>
      </w:r>
      <w:proofErr w:type="gramStart"/>
      <w:r w:rsidR="003B3288">
        <w:rPr>
          <w:rFonts w:ascii="Arial" w:hAnsi="Arial" w:cs="Arial"/>
        </w:rPr>
        <w:t>carcinogens,</w:t>
      </w:r>
      <w:proofErr w:type="gramEnd"/>
      <w:r w:rsidRPr="00D26183">
        <w:rPr>
          <w:rFonts w:ascii="Arial" w:hAnsi="Arial" w:cs="Arial"/>
        </w:rPr>
        <w:t xml:space="preserve"> has not been canvassed. </w:t>
      </w:r>
    </w:p>
    <w:p w:rsidR="000621D4" w:rsidRDefault="000621D4" w:rsidP="000621D4">
      <w:pPr>
        <w:spacing w:after="240"/>
        <w:rPr>
          <w:rFonts w:ascii="Arial" w:hAnsi="Arial" w:cs="Arial"/>
        </w:rPr>
      </w:pPr>
      <w:r>
        <w:rPr>
          <w:rFonts w:ascii="Arial" w:hAnsi="Arial" w:cs="Arial"/>
        </w:rPr>
        <w:t xml:space="preserve">One large Australian retailer estimated that increased testing of relevant articles would add 10 cents to the retail price of each article. Other businesses estimated mandatory requirements would add substantially to their sourcing costs but did not provide an estimate of the effect on retail price. It </w:t>
      </w:r>
      <w:r w:rsidRPr="00D26183">
        <w:rPr>
          <w:rFonts w:ascii="Arial" w:hAnsi="Arial" w:cs="Arial"/>
        </w:rPr>
        <w:t xml:space="preserve">is </w:t>
      </w:r>
      <w:r>
        <w:rPr>
          <w:rFonts w:ascii="Arial" w:hAnsi="Arial" w:cs="Arial"/>
        </w:rPr>
        <w:t xml:space="preserve">expected </w:t>
      </w:r>
      <w:r w:rsidRPr="00D26183">
        <w:rPr>
          <w:rFonts w:ascii="Arial" w:hAnsi="Arial" w:cs="Arial"/>
        </w:rPr>
        <w:t xml:space="preserve">the </w:t>
      </w:r>
      <w:r>
        <w:rPr>
          <w:rFonts w:ascii="Arial" w:hAnsi="Arial" w:cs="Arial"/>
        </w:rPr>
        <w:t>consultation on the draft RIS</w:t>
      </w:r>
      <w:r w:rsidRPr="00D26183">
        <w:rPr>
          <w:rFonts w:ascii="Arial" w:hAnsi="Arial" w:cs="Arial"/>
        </w:rPr>
        <w:t xml:space="preserve"> can </w:t>
      </w:r>
      <w:r>
        <w:rPr>
          <w:rFonts w:ascii="Arial" w:hAnsi="Arial" w:cs="Arial"/>
        </w:rPr>
        <w:t xml:space="preserve">provide further </w:t>
      </w:r>
      <w:r w:rsidRPr="00D26183">
        <w:rPr>
          <w:rFonts w:ascii="Arial" w:hAnsi="Arial" w:cs="Arial"/>
        </w:rPr>
        <w:t>information</w:t>
      </w:r>
      <w:r>
        <w:rPr>
          <w:rFonts w:ascii="Arial" w:hAnsi="Arial" w:cs="Arial"/>
        </w:rPr>
        <w:t xml:space="preserve"> on the impact of regulation on retail prices</w:t>
      </w:r>
      <w:r w:rsidRPr="00D26183">
        <w:rPr>
          <w:rFonts w:ascii="Arial" w:hAnsi="Arial" w:cs="Arial"/>
        </w:rPr>
        <w:t>.</w:t>
      </w:r>
    </w:p>
    <w:p w:rsidR="000621D4" w:rsidRPr="00AE57D0" w:rsidRDefault="000621D4" w:rsidP="000621D4">
      <w:pPr>
        <w:spacing w:after="240"/>
        <w:rPr>
          <w:rFonts w:ascii="Arial" w:hAnsi="Arial" w:cs="Arial"/>
        </w:rPr>
      </w:pPr>
      <w:r w:rsidRPr="00AE57D0">
        <w:rPr>
          <w:rFonts w:ascii="Arial" w:hAnsi="Arial" w:cs="Arial"/>
        </w:rPr>
        <w:t xml:space="preserve">There </w:t>
      </w:r>
      <w:proofErr w:type="gramStart"/>
      <w:r w:rsidRPr="00AE57D0">
        <w:rPr>
          <w:rFonts w:ascii="Arial" w:hAnsi="Arial" w:cs="Arial"/>
        </w:rPr>
        <w:t>are</w:t>
      </w:r>
      <w:proofErr w:type="gramEnd"/>
      <w:r w:rsidRPr="00AE57D0">
        <w:rPr>
          <w:rFonts w:ascii="Arial" w:hAnsi="Arial" w:cs="Arial"/>
        </w:rPr>
        <w:t xml:space="preserve"> a number of certification schemes already operating in the clothing and textile field that claim to ensure residues or hazardous aromatic amines are </w:t>
      </w:r>
      <w:r w:rsidR="00665A36">
        <w:rPr>
          <w:rFonts w:ascii="Arial" w:hAnsi="Arial" w:cs="Arial"/>
        </w:rPr>
        <w:t>below published limits</w:t>
      </w:r>
      <w:r w:rsidRPr="00AE57D0">
        <w:rPr>
          <w:rFonts w:ascii="Arial" w:hAnsi="Arial" w:cs="Arial"/>
        </w:rPr>
        <w:t>. The most common of these are:</w:t>
      </w:r>
    </w:p>
    <w:p w:rsidR="000621D4" w:rsidRPr="00AE57D0" w:rsidRDefault="000621D4" w:rsidP="000621D4">
      <w:pPr>
        <w:numPr>
          <w:ilvl w:val="0"/>
          <w:numId w:val="46"/>
        </w:numPr>
        <w:spacing w:after="240"/>
        <w:ind w:left="567" w:hanging="567"/>
        <w:rPr>
          <w:rFonts w:ascii="Arial" w:hAnsi="Arial" w:cs="Arial"/>
        </w:rPr>
      </w:pPr>
      <w:proofErr w:type="spellStart"/>
      <w:r w:rsidRPr="00AE57D0">
        <w:rPr>
          <w:rFonts w:ascii="Arial" w:hAnsi="Arial" w:cs="Arial"/>
        </w:rPr>
        <w:t>Oeko</w:t>
      </w:r>
      <w:proofErr w:type="spellEnd"/>
      <w:r w:rsidRPr="00AE57D0">
        <w:rPr>
          <w:rFonts w:ascii="Arial" w:hAnsi="Arial" w:cs="Arial"/>
        </w:rPr>
        <w:t xml:space="preserve"> </w:t>
      </w:r>
      <w:proofErr w:type="spellStart"/>
      <w:r w:rsidRPr="00AE57D0">
        <w:rPr>
          <w:rFonts w:ascii="Arial" w:hAnsi="Arial" w:cs="Arial"/>
        </w:rPr>
        <w:t>Tex</w:t>
      </w:r>
      <w:proofErr w:type="spellEnd"/>
    </w:p>
    <w:p w:rsidR="000621D4" w:rsidRPr="00AE57D0" w:rsidRDefault="000621D4" w:rsidP="000621D4">
      <w:pPr>
        <w:numPr>
          <w:ilvl w:val="0"/>
          <w:numId w:val="46"/>
        </w:numPr>
        <w:spacing w:after="240"/>
        <w:ind w:left="567" w:hanging="567"/>
        <w:rPr>
          <w:rFonts w:ascii="Arial" w:hAnsi="Arial" w:cs="Arial"/>
        </w:rPr>
      </w:pPr>
      <w:proofErr w:type="spellStart"/>
      <w:r w:rsidRPr="00AE57D0">
        <w:rPr>
          <w:rFonts w:ascii="Arial" w:hAnsi="Arial" w:cs="Arial"/>
        </w:rPr>
        <w:t>GreenGuard</w:t>
      </w:r>
      <w:proofErr w:type="spellEnd"/>
    </w:p>
    <w:p w:rsidR="000621D4" w:rsidRPr="00AE57D0" w:rsidRDefault="000621D4" w:rsidP="000621D4">
      <w:pPr>
        <w:numPr>
          <w:ilvl w:val="0"/>
          <w:numId w:val="46"/>
        </w:numPr>
        <w:spacing w:after="240"/>
        <w:ind w:left="567" w:hanging="567"/>
        <w:rPr>
          <w:rFonts w:ascii="Arial" w:hAnsi="Arial" w:cs="Arial"/>
        </w:rPr>
      </w:pPr>
      <w:r w:rsidRPr="00AE57D0">
        <w:rPr>
          <w:rFonts w:ascii="Arial" w:hAnsi="Arial" w:cs="Arial"/>
        </w:rPr>
        <w:t xml:space="preserve">Cradle 2 Cradle by </w:t>
      </w:r>
      <w:r w:rsidR="003B3288">
        <w:rPr>
          <w:rFonts w:ascii="Arial" w:hAnsi="Arial" w:cs="Arial"/>
          <w:color w:val="191919"/>
          <w:lang w:val="en-US"/>
        </w:rPr>
        <w:t xml:space="preserve">McDonough </w:t>
      </w:r>
      <w:proofErr w:type="spellStart"/>
      <w:r w:rsidR="003B3288">
        <w:rPr>
          <w:rFonts w:ascii="Arial" w:hAnsi="Arial" w:cs="Arial"/>
          <w:color w:val="191919"/>
          <w:lang w:val="en-US"/>
        </w:rPr>
        <w:t>Braungart</w:t>
      </w:r>
      <w:proofErr w:type="spellEnd"/>
      <w:r w:rsidR="003B3288">
        <w:rPr>
          <w:rFonts w:ascii="Arial" w:hAnsi="Arial" w:cs="Arial"/>
          <w:color w:val="191919"/>
          <w:lang w:val="en-US"/>
        </w:rPr>
        <w:t xml:space="preserve"> Design Chemistry (MBDC)</w:t>
      </w:r>
    </w:p>
    <w:p w:rsidR="000621D4" w:rsidRPr="00AE57D0" w:rsidRDefault="000621D4" w:rsidP="000621D4">
      <w:pPr>
        <w:numPr>
          <w:ilvl w:val="0"/>
          <w:numId w:val="46"/>
        </w:numPr>
        <w:spacing w:after="240"/>
        <w:ind w:left="567" w:hanging="567"/>
        <w:rPr>
          <w:rFonts w:ascii="Arial" w:hAnsi="Arial" w:cs="Arial"/>
        </w:rPr>
      </w:pPr>
      <w:r w:rsidRPr="00AE57D0">
        <w:rPr>
          <w:rFonts w:ascii="Arial" w:hAnsi="Arial" w:cs="Arial"/>
        </w:rPr>
        <w:t>Global Organic Textile Standard</w:t>
      </w:r>
    </w:p>
    <w:p w:rsidR="000621D4" w:rsidRPr="00AE57D0" w:rsidRDefault="000621D4" w:rsidP="000621D4">
      <w:pPr>
        <w:numPr>
          <w:ilvl w:val="0"/>
          <w:numId w:val="46"/>
        </w:numPr>
        <w:spacing w:after="240"/>
        <w:ind w:left="567" w:hanging="567"/>
        <w:rPr>
          <w:rFonts w:ascii="Arial" w:hAnsi="Arial" w:cs="Arial"/>
        </w:rPr>
      </w:pPr>
      <w:r w:rsidRPr="00AE57D0">
        <w:rPr>
          <w:rFonts w:ascii="Arial" w:hAnsi="Arial" w:cs="Arial"/>
        </w:rPr>
        <w:t>Global Recycle Standard</w:t>
      </w:r>
    </w:p>
    <w:p w:rsidR="000621D4" w:rsidRPr="00AE57D0" w:rsidRDefault="000621D4" w:rsidP="000621D4">
      <w:pPr>
        <w:numPr>
          <w:ilvl w:val="0"/>
          <w:numId w:val="46"/>
        </w:numPr>
        <w:spacing w:after="240"/>
        <w:ind w:left="567" w:hanging="567"/>
        <w:rPr>
          <w:rFonts w:ascii="Arial" w:hAnsi="Arial" w:cs="Arial"/>
        </w:rPr>
      </w:pPr>
      <w:r w:rsidRPr="00AE57D0">
        <w:rPr>
          <w:rFonts w:ascii="Arial" w:hAnsi="Arial" w:cs="Arial"/>
        </w:rPr>
        <w:t>SMART Sustainable Textile Standard.</w:t>
      </w:r>
    </w:p>
    <w:p w:rsidR="003B3288" w:rsidRDefault="000621D4" w:rsidP="000621D4">
      <w:pPr>
        <w:pStyle w:val="NormalWeb"/>
        <w:rPr>
          <w:rFonts w:ascii="Arial" w:hAnsi="Arial" w:cs="Arial"/>
        </w:rPr>
      </w:pPr>
      <w:r w:rsidRPr="00AE57D0">
        <w:rPr>
          <w:rFonts w:ascii="Arial" w:hAnsi="Arial" w:cs="Arial"/>
        </w:rPr>
        <w:t xml:space="preserve">These certifications vary significantly, with different cost structures and specifications. </w:t>
      </w:r>
    </w:p>
    <w:p w:rsidR="000621D4" w:rsidRPr="00AE57D0" w:rsidRDefault="000621D4" w:rsidP="000621D4">
      <w:pPr>
        <w:pStyle w:val="NormalWeb"/>
        <w:rPr>
          <w:rFonts w:ascii="Arial" w:hAnsi="Arial" w:cs="Arial"/>
        </w:rPr>
      </w:pPr>
      <w:r w:rsidRPr="00AE57D0">
        <w:rPr>
          <w:rFonts w:ascii="Arial" w:hAnsi="Arial" w:cs="Arial"/>
        </w:rPr>
        <w:t xml:space="preserve">Probably the most widely recognised of the certifications is </w:t>
      </w:r>
      <w:proofErr w:type="spellStart"/>
      <w:r w:rsidRPr="00AE57D0">
        <w:rPr>
          <w:rFonts w:ascii="Arial" w:hAnsi="Arial" w:cs="Arial"/>
        </w:rPr>
        <w:t>Oeko</w:t>
      </w:r>
      <w:proofErr w:type="spellEnd"/>
      <w:r w:rsidRPr="00AE57D0">
        <w:rPr>
          <w:rFonts w:ascii="Arial" w:hAnsi="Arial" w:cs="Arial"/>
        </w:rPr>
        <w:t xml:space="preserve"> </w:t>
      </w:r>
      <w:proofErr w:type="spellStart"/>
      <w:r w:rsidRPr="00AE57D0">
        <w:rPr>
          <w:rFonts w:ascii="Arial" w:hAnsi="Arial" w:cs="Arial"/>
        </w:rPr>
        <w:t>Tex</w:t>
      </w:r>
      <w:proofErr w:type="spellEnd"/>
      <w:r w:rsidRPr="00AE57D0">
        <w:rPr>
          <w:rFonts w:ascii="Arial" w:hAnsi="Arial" w:cs="Arial"/>
        </w:rPr>
        <w:t xml:space="preserve">, which is an independent third party certifier offering two certifications for </w:t>
      </w:r>
      <w:hyperlink r:id="rId16" w:tooltip="Textile" w:history="1">
        <w:r w:rsidRPr="00AE57D0">
          <w:rPr>
            <w:rFonts w:ascii="Arial" w:hAnsi="Arial" w:cs="Arial"/>
          </w:rPr>
          <w:t>textiles</w:t>
        </w:r>
      </w:hyperlink>
      <w:r w:rsidRPr="00AE57D0">
        <w:rPr>
          <w:rFonts w:ascii="Arial" w:hAnsi="Arial" w:cs="Arial"/>
        </w:rPr>
        <w:t xml:space="preserve">. </w:t>
      </w:r>
      <w:proofErr w:type="spellStart"/>
      <w:r w:rsidRPr="00AE57D0">
        <w:rPr>
          <w:rFonts w:ascii="Arial" w:hAnsi="Arial" w:cs="Arial"/>
        </w:rPr>
        <w:t>Oeko</w:t>
      </w:r>
      <w:proofErr w:type="spellEnd"/>
      <w:r w:rsidRPr="00AE57D0">
        <w:rPr>
          <w:rFonts w:ascii="Arial" w:hAnsi="Arial" w:cs="Arial"/>
        </w:rPr>
        <w:t xml:space="preserve"> </w:t>
      </w:r>
      <w:proofErr w:type="spellStart"/>
      <w:r w:rsidRPr="00AE57D0">
        <w:rPr>
          <w:rFonts w:ascii="Arial" w:hAnsi="Arial" w:cs="Arial"/>
        </w:rPr>
        <w:t>Tex</w:t>
      </w:r>
      <w:proofErr w:type="spellEnd"/>
      <w:r w:rsidRPr="00AE57D0">
        <w:rPr>
          <w:rFonts w:ascii="Arial" w:hAnsi="Arial" w:cs="Arial"/>
        </w:rPr>
        <w:t xml:space="preserve"> was founded in 1992, by the Austrian Textile Research Institute (OTI) and the German Research Institute </w:t>
      </w:r>
      <w:proofErr w:type="spellStart"/>
      <w:r w:rsidRPr="00AE57D0">
        <w:rPr>
          <w:rFonts w:ascii="Arial" w:hAnsi="Arial" w:cs="Arial"/>
        </w:rPr>
        <w:t>Hohenstein</w:t>
      </w:r>
      <w:proofErr w:type="spellEnd"/>
      <w:r w:rsidRPr="00AE57D0">
        <w:rPr>
          <w:rFonts w:ascii="Arial" w:hAnsi="Arial" w:cs="Arial"/>
        </w:rPr>
        <w:t>, with the aim of providing an objective and reliable product label for consumers.</w:t>
      </w:r>
      <w:r w:rsidRPr="00AE57D0">
        <w:rPr>
          <w:rStyle w:val="FootnoteReference"/>
          <w:rFonts w:ascii="Arial" w:hAnsi="Arial" w:cs="Arial"/>
        </w:rPr>
        <w:footnoteReference w:id="36"/>
      </w:r>
      <w:r w:rsidRPr="00AE57D0">
        <w:rPr>
          <w:rFonts w:ascii="Arial" w:hAnsi="Arial" w:cs="Arial"/>
        </w:rPr>
        <w:t xml:space="preserve"> Chemical residues are the main focus of the certification. The certification can apply to production sites/factories (</w:t>
      </w:r>
      <w:proofErr w:type="spellStart"/>
      <w:r w:rsidRPr="00AE57D0">
        <w:rPr>
          <w:rFonts w:ascii="Arial" w:hAnsi="Arial" w:cs="Arial"/>
        </w:rPr>
        <w:t>Oeko-Tex</w:t>
      </w:r>
      <w:proofErr w:type="spellEnd"/>
      <w:r w:rsidRPr="00AE57D0">
        <w:rPr>
          <w:rFonts w:ascii="Arial" w:hAnsi="Arial" w:cs="Arial"/>
        </w:rPr>
        <w:t xml:space="preserve"> 1000) </w:t>
      </w:r>
      <w:r w:rsidR="00665A36">
        <w:rPr>
          <w:rFonts w:ascii="Arial" w:hAnsi="Arial" w:cs="Arial"/>
        </w:rPr>
        <w:t>or</w:t>
      </w:r>
      <w:r w:rsidRPr="00AE57D0">
        <w:rPr>
          <w:rFonts w:ascii="Arial" w:hAnsi="Arial" w:cs="Arial"/>
        </w:rPr>
        <w:t xml:space="preserve"> to the products themselves (</w:t>
      </w:r>
      <w:proofErr w:type="spellStart"/>
      <w:r w:rsidRPr="00AE57D0">
        <w:rPr>
          <w:rFonts w:ascii="Arial" w:hAnsi="Arial" w:cs="Arial"/>
        </w:rPr>
        <w:t>Oeko-Tex</w:t>
      </w:r>
      <w:proofErr w:type="spellEnd"/>
      <w:r w:rsidRPr="00AE57D0">
        <w:rPr>
          <w:rFonts w:ascii="Arial" w:hAnsi="Arial" w:cs="Arial"/>
        </w:rPr>
        <w:t xml:space="preserve"> 100). The cost structure for the </w:t>
      </w:r>
      <w:proofErr w:type="spellStart"/>
      <w:r w:rsidRPr="00AE57D0">
        <w:rPr>
          <w:rFonts w:ascii="Arial" w:hAnsi="Arial" w:cs="Arial"/>
        </w:rPr>
        <w:t>Oeko</w:t>
      </w:r>
      <w:proofErr w:type="spellEnd"/>
      <w:r w:rsidRPr="00AE57D0">
        <w:rPr>
          <w:rFonts w:ascii="Arial" w:hAnsi="Arial" w:cs="Arial"/>
        </w:rPr>
        <w:t xml:space="preserve"> </w:t>
      </w:r>
      <w:proofErr w:type="spellStart"/>
      <w:r w:rsidRPr="00AE57D0">
        <w:rPr>
          <w:rFonts w:ascii="Arial" w:hAnsi="Arial" w:cs="Arial"/>
        </w:rPr>
        <w:t>Tex</w:t>
      </w:r>
      <w:proofErr w:type="spellEnd"/>
      <w:r w:rsidRPr="00AE57D0">
        <w:rPr>
          <w:rFonts w:ascii="Arial" w:hAnsi="Arial" w:cs="Arial"/>
        </w:rPr>
        <w:t xml:space="preserve"> certification is quite complex and varies according to the production facilities involved and the volume of articles. </w:t>
      </w:r>
    </w:p>
    <w:p w:rsidR="000621D4" w:rsidRPr="0045551B" w:rsidRDefault="003B3288" w:rsidP="000621D4">
      <w:pPr>
        <w:pStyle w:val="NormalWeb"/>
        <w:rPr>
          <w:rFonts w:ascii="Arial" w:hAnsi="Arial" w:cs="Arial"/>
        </w:rPr>
      </w:pPr>
      <w:r w:rsidRPr="00373DF6">
        <w:rPr>
          <w:rFonts w:ascii="Arial" w:hAnsi="Arial" w:cs="Arial"/>
        </w:rPr>
        <w:lastRenderedPageBreak/>
        <w:t>A survey of 2 </w:t>
      </w:r>
      <w:r w:rsidR="000621D4" w:rsidRPr="00373DF6">
        <w:rPr>
          <w:rFonts w:ascii="Arial" w:hAnsi="Arial" w:cs="Arial"/>
        </w:rPr>
        <w:t>090 people in the United Kingdom indicated 42 per cent of respondents were willing to pay more for textiles that had been tested for harmful substances.</w:t>
      </w:r>
      <w:r w:rsidR="000621D4" w:rsidRPr="00373DF6">
        <w:rPr>
          <w:rStyle w:val="FootnoteReference"/>
        </w:rPr>
        <w:footnoteReference w:id="37"/>
      </w:r>
      <w:r w:rsidR="000621D4" w:rsidRPr="00373DF6">
        <w:rPr>
          <w:rFonts w:ascii="Arial" w:hAnsi="Arial" w:cs="Arial"/>
        </w:rPr>
        <w:t xml:space="preserve"> Other surveys indicate the price/quality ratio is of high importance to consumers and people are willing to pay more for better products.</w:t>
      </w:r>
      <w:r w:rsidR="000621D4" w:rsidRPr="00373DF6">
        <w:rPr>
          <w:rStyle w:val="FootnoteReference"/>
          <w:rFonts w:cs="Arial"/>
        </w:rPr>
        <w:footnoteReference w:id="38"/>
      </w:r>
    </w:p>
    <w:p w:rsidR="000621D4" w:rsidRPr="0045551B" w:rsidRDefault="000621D4" w:rsidP="000621D4">
      <w:pPr>
        <w:pStyle w:val="NormalWeb"/>
        <w:rPr>
          <w:rFonts w:ascii="Arial" w:hAnsi="Arial" w:cs="Arial"/>
        </w:rPr>
      </w:pPr>
      <w:r w:rsidRPr="0045551B">
        <w:rPr>
          <w:rFonts w:ascii="Arial" w:hAnsi="Arial" w:cs="Arial"/>
        </w:rPr>
        <w:t xml:space="preserve">In March 2012, </w:t>
      </w:r>
      <w:proofErr w:type="spellStart"/>
      <w:r w:rsidRPr="0045551B">
        <w:rPr>
          <w:rFonts w:ascii="Arial" w:hAnsi="Arial" w:cs="Arial"/>
        </w:rPr>
        <w:t>Oeko</w:t>
      </w:r>
      <w:proofErr w:type="spellEnd"/>
      <w:r w:rsidRPr="0045551B">
        <w:rPr>
          <w:rFonts w:ascii="Arial" w:hAnsi="Arial" w:cs="Arial"/>
        </w:rPr>
        <w:t xml:space="preserve"> </w:t>
      </w:r>
      <w:proofErr w:type="spellStart"/>
      <w:r w:rsidRPr="0045551B">
        <w:rPr>
          <w:rFonts w:ascii="Arial" w:hAnsi="Arial" w:cs="Arial"/>
        </w:rPr>
        <w:t>Tex</w:t>
      </w:r>
      <w:proofErr w:type="spellEnd"/>
      <w:r w:rsidRPr="0045551B">
        <w:rPr>
          <w:rFonts w:ascii="Arial" w:hAnsi="Arial" w:cs="Arial"/>
        </w:rPr>
        <w:t xml:space="preserve"> conducted an online survey in 13 countries.</w:t>
      </w:r>
      <w:r w:rsidRPr="0045551B">
        <w:rPr>
          <w:rStyle w:val="FootnoteReference"/>
          <w:rFonts w:ascii="Arial" w:hAnsi="Arial" w:cs="Arial"/>
        </w:rPr>
        <w:footnoteReference w:id="39"/>
      </w:r>
      <w:r w:rsidRPr="0045551B">
        <w:rPr>
          <w:rFonts w:ascii="Arial" w:hAnsi="Arial" w:cs="Arial"/>
        </w:rPr>
        <w:t xml:space="preserve"> The survey identified 9 out of 10 consumers wanted to be able to choose between more certified clothes and textiles in the future. </w:t>
      </w:r>
    </w:p>
    <w:p w:rsidR="001313F8" w:rsidRDefault="000621D4" w:rsidP="00B7209D">
      <w:pPr>
        <w:pStyle w:val="ListParagraph"/>
        <w:ind w:left="0"/>
        <w:contextualSpacing w:val="0"/>
        <w:rPr>
          <w:rFonts w:cs="Arial"/>
          <w:szCs w:val="22"/>
          <w:lang w:val="en-AU"/>
        </w:rPr>
      </w:pPr>
      <w:r>
        <w:rPr>
          <w:rFonts w:cs="Arial"/>
          <w:szCs w:val="22"/>
          <w:lang w:val="en-AU"/>
        </w:rPr>
        <w:t>T</w:t>
      </w:r>
      <w:r w:rsidRPr="00AE57D0">
        <w:rPr>
          <w:rFonts w:cs="Arial"/>
          <w:szCs w:val="22"/>
          <w:lang w:val="en-AU"/>
        </w:rPr>
        <w:t>he</w:t>
      </w:r>
      <w:r>
        <w:rPr>
          <w:rFonts w:cs="Arial"/>
          <w:szCs w:val="22"/>
          <w:lang w:val="en-AU"/>
        </w:rPr>
        <w:t>se</w:t>
      </w:r>
      <w:r w:rsidRPr="00AE57D0">
        <w:rPr>
          <w:rFonts w:cs="Arial"/>
          <w:szCs w:val="22"/>
          <w:lang w:val="en-AU"/>
        </w:rPr>
        <w:t xml:space="preserve"> survey results are indicative of </w:t>
      </w:r>
      <w:r w:rsidR="006A58CF">
        <w:rPr>
          <w:rFonts w:cs="Arial"/>
          <w:szCs w:val="22"/>
          <w:lang w:val="en-AU"/>
        </w:rPr>
        <w:t xml:space="preserve">some level of </w:t>
      </w:r>
      <w:r w:rsidRPr="00AE57D0">
        <w:rPr>
          <w:rFonts w:cs="Arial"/>
          <w:szCs w:val="22"/>
          <w:lang w:val="en-AU"/>
        </w:rPr>
        <w:t>consumer willingness to pay additional costs for better quality/safer clothing.</w:t>
      </w:r>
    </w:p>
    <w:p w:rsidR="000621D4" w:rsidRPr="006A58CF" w:rsidRDefault="001313F8" w:rsidP="00B7209D">
      <w:pPr>
        <w:pStyle w:val="ListParagraph"/>
        <w:ind w:left="0"/>
        <w:contextualSpacing w:val="0"/>
        <w:rPr>
          <w:rFonts w:cs="Arial"/>
        </w:rPr>
      </w:pPr>
      <w:r>
        <w:rPr>
          <w:rFonts w:cs="Arial"/>
          <w:szCs w:val="22"/>
          <w:lang w:val="en-AU"/>
        </w:rPr>
        <w:br w:type="page"/>
      </w:r>
    </w:p>
    <w:p w:rsidR="002D599C" w:rsidRPr="00057880" w:rsidRDefault="00DF6F84" w:rsidP="002C39E8">
      <w:pPr>
        <w:pStyle w:val="Heading1"/>
        <w:numPr>
          <w:ilvl w:val="0"/>
          <w:numId w:val="18"/>
        </w:numPr>
        <w:spacing w:after="240"/>
        <w:ind w:left="357" w:hanging="357"/>
        <w:rPr>
          <w:rFonts w:ascii="Lucida Fax" w:hAnsi="Lucida Fax"/>
          <w:lang w:val="en-AU"/>
        </w:rPr>
      </w:pPr>
      <w:bookmarkStart w:id="3" w:name="_Toc400521122"/>
      <w:bookmarkStart w:id="4" w:name="_Toc400521123"/>
      <w:bookmarkStart w:id="5" w:name="_Toc400521124"/>
      <w:bookmarkStart w:id="6" w:name="_Toc400521125"/>
      <w:bookmarkStart w:id="7" w:name="_Toc400521126"/>
      <w:bookmarkStart w:id="8" w:name="_Toc400521127"/>
      <w:bookmarkStart w:id="9" w:name="_Toc400521128"/>
      <w:bookmarkStart w:id="10" w:name="_Toc400521129"/>
      <w:bookmarkStart w:id="11" w:name="_Toc400521130"/>
      <w:bookmarkStart w:id="12" w:name="_Toc400521131"/>
      <w:bookmarkStart w:id="13" w:name="_Toc400521132"/>
      <w:bookmarkStart w:id="14" w:name="_Toc400521133"/>
      <w:bookmarkStart w:id="15" w:name="_Toc400521134"/>
      <w:bookmarkStart w:id="16" w:name="_Toc400521135"/>
      <w:bookmarkStart w:id="17" w:name="_Toc400521136"/>
      <w:bookmarkStart w:id="18" w:name="_Toc400521137"/>
      <w:bookmarkStart w:id="19" w:name="_Toc400521138"/>
      <w:bookmarkStart w:id="20" w:name="_Toc400521139"/>
      <w:bookmarkStart w:id="21" w:name="_Toc400521140"/>
      <w:bookmarkStart w:id="22" w:name="_Toc400521141"/>
      <w:bookmarkStart w:id="23" w:name="_Toc400521142"/>
      <w:bookmarkStart w:id="24" w:name="_Toc400521143"/>
      <w:bookmarkStart w:id="25" w:name="_Toc400521144"/>
      <w:bookmarkStart w:id="26" w:name="_Toc400521145"/>
      <w:bookmarkStart w:id="27" w:name="_Toc400521146"/>
      <w:bookmarkStart w:id="28" w:name="_Toc400521147"/>
      <w:bookmarkStart w:id="29" w:name="_Toc400521148"/>
      <w:bookmarkStart w:id="30" w:name="_Toc400521149"/>
      <w:bookmarkStart w:id="31" w:name="_Toc400521150"/>
      <w:bookmarkStart w:id="32" w:name="_Toc400521151"/>
      <w:bookmarkStart w:id="33" w:name="_Toc400521152"/>
      <w:bookmarkStart w:id="34" w:name="_Toc400521153"/>
      <w:bookmarkStart w:id="35" w:name="_Toc400521154"/>
      <w:bookmarkStart w:id="36" w:name="_Toc400521155"/>
      <w:bookmarkStart w:id="37" w:name="_Toc400521156"/>
      <w:bookmarkStart w:id="38" w:name="_Toc400521157"/>
      <w:bookmarkStart w:id="39" w:name="_Toc400521158"/>
      <w:bookmarkStart w:id="40" w:name="_Toc400521159"/>
      <w:bookmarkStart w:id="41" w:name="_Toc400521160"/>
      <w:bookmarkStart w:id="42" w:name="_Toc400521161"/>
      <w:bookmarkStart w:id="43" w:name="_Toc400521162"/>
      <w:bookmarkStart w:id="44" w:name="_Toc400521163"/>
      <w:bookmarkStart w:id="45" w:name="_Toc400521164"/>
      <w:bookmarkStart w:id="46" w:name="_Toc400521165"/>
      <w:bookmarkStart w:id="47" w:name="_Toc398902232"/>
      <w:bookmarkStart w:id="48" w:name="_Toc398902233"/>
      <w:bookmarkStart w:id="49" w:name="_Toc398902234"/>
      <w:bookmarkStart w:id="50" w:name="_Toc398902235"/>
      <w:bookmarkStart w:id="51" w:name="_Toc398902236"/>
      <w:bookmarkStart w:id="52" w:name="_Toc398902237"/>
      <w:bookmarkStart w:id="53" w:name="_Toc398902238"/>
      <w:bookmarkStart w:id="54" w:name="_Toc398902239"/>
      <w:bookmarkStart w:id="55" w:name="_Toc398902240"/>
      <w:bookmarkStart w:id="56" w:name="_Toc398902241"/>
      <w:bookmarkStart w:id="57" w:name="_Toc398902242"/>
      <w:bookmarkStart w:id="58" w:name="_Toc398902243"/>
      <w:bookmarkStart w:id="59" w:name="_Toc398902244"/>
      <w:bookmarkStart w:id="60" w:name="_Toc398902245"/>
      <w:bookmarkStart w:id="61" w:name="_Toc398902246"/>
      <w:bookmarkStart w:id="62" w:name="_Toc398902247"/>
      <w:bookmarkStart w:id="63" w:name="_Toc398902248"/>
      <w:bookmarkStart w:id="64" w:name="_Toc398902249"/>
      <w:bookmarkStart w:id="65" w:name="_Toc398902250"/>
      <w:bookmarkStart w:id="66" w:name="_Toc398902251"/>
      <w:bookmarkStart w:id="67" w:name="_Toc398902252"/>
      <w:bookmarkStart w:id="68" w:name="_Toc398902253"/>
      <w:bookmarkStart w:id="69" w:name="_Toc398902254"/>
      <w:bookmarkStart w:id="70" w:name="_Toc398902255"/>
      <w:bookmarkStart w:id="71" w:name="_Toc398902256"/>
      <w:bookmarkStart w:id="72" w:name="_Toc398902257"/>
      <w:bookmarkStart w:id="73" w:name="_Toc398902258"/>
      <w:bookmarkStart w:id="74" w:name="_Toc398902259"/>
      <w:bookmarkStart w:id="75" w:name="_Toc398902260"/>
      <w:bookmarkStart w:id="76" w:name="_Toc398902261"/>
      <w:bookmarkStart w:id="77" w:name="_Toc398902262"/>
      <w:bookmarkStart w:id="78" w:name="_Toc398902263"/>
      <w:bookmarkStart w:id="79" w:name="_Toc398902264"/>
      <w:bookmarkStart w:id="80" w:name="_Toc398902265"/>
      <w:bookmarkStart w:id="81" w:name="_Toc398902266"/>
      <w:bookmarkStart w:id="82" w:name="_Toc398902267"/>
      <w:bookmarkStart w:id="83" w:name="_Toc398902268"/>
      <w:bookmarkStart w:id="84" w:name="_Toc41219663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057880">
        <w:rPr>
          <w:rFonts w:ascii="Lucida Fax" w:hAnsi="Lucida Fax"/>
          <w:lang w:val="en-AU"/>
        </w:rPr>
        <w:t>Is</w:t>
      </w:r>
      <w:r w:rsidR="002D599C" w:rsidRPr="00057880">
        <w:rPr>
          <w:rFonts w:ascii="Lucida Fax" w:hAnsi="Lucida Fax"/>
          <w:lang w:val="en-AU"/>
        </w:rPr>
        <w:t xml:space="preserve"> </w:t>
      </w:r>
      <w:r w:rsidR="00AB0A7F" w:rsidRPr="00057880">
        <w:rPr>
          <w:rFonts w:ascii="Lucida Fax" w:hAnsi="Lucida Fax"/>
          <w:lang w:val="en-AU"/>
        </w:rPr>
        <w:t>Government action</w:t>
      </w:r>
      <w:r w:rsidR="00F6119E" w:rsidRPr="00057880">
        <w:rPr>
          <w:rFonts w:ascii="Lucida Fax" w:hAnsi="Lucida Fax"/>
          <w:lang w:val="en-AU"/>
        </w:rPr>
        <w:t xml:space="preserve"> </w:t>
      </w:r>
      <w:r w:rsidR="002D599C" w:rsidRPr="00057880">
        <w:rPr>
          <w:rFonts w:ascii="Lucida Fax" w:hAnsi="Lucida Fax"/>
          <w:lang w:val="en-AU"/>
        </w:rPr>
        <w:t>needed?</w:t>
      </w:r>
      <w:bookmarkEnd w:id="84"/>
    </w:p>
    <w:p w:rsidR="008323E2" w:rsidRDefault="008323E2" w:rsidP="008323E2">
      <w:pPr>
        <w:rPr>
          <w:rFonts w:ascii="Arial" w:hAnsi="Arial" w:cs="Arial"/>
          <w:b/>
          <w:sz w:val="24"/>
          <w:szCs w:val="24"/>
        </w:rPr>
      </w:pPr>
      <w:r w:rsidRPr="00650047">
        <w:rPr>
          <w:rFonts w:ascii="Arial" w:hAnsi="Arial" w:cs="Arial"/>
          <w:b/>
          <w:sz w:val="24"/>
          <w:szCs w:val="24"/>
        </w:rPr>
        <w:t>Objective</w:t>
      </w:r>
    </w:p>
    <w:p w:rsidR="008323E2" w:rsidRPr="00650047" w:rsidRDefault="008323E2" w:rsidP="008323E2">
      <w:pPr>
        <w:rPr>
          <w:rFonts w:ascii="Arial" w:hAnsi="Arial" w:cs="Arial"/>
          <w:b/>
          <w:sz w:val="24"/>
          <w:szCs w:val="24"/>
        </w:rPr>
      </w:pPr>
    </w:p>
    <w:p w:rsidR="008323E2" w:rsidRPr="00690F06" w:rsidRDefault="008323E2" w:rsidP="008323E2">
      <w:pPr>
        <w:rPr>
          <w:rFonts w:ascii="Arial" w:hAnsi="Arial" w:cs="Arial"/>
        </w:rPr>
      </w:pPr>
      <w:r w:rsidRPr="00690F06">
        <w:rPr>
          <w:rFonts w:ascii="Arial" w:hAnsi="Arial" w:cs="Arial"/>
        </w:rPr>
        <w:t xml:space="preserve">The broad objective of </w:t>
      </w:r>
      <w:r>
        <w:rPr>
          <w:rFonts w:ascii="Arial" w:hAnsi="Arial" w:cs="Arial"/>
        </w:rPr>
        <w:t xml:space="preserve">any </w:t>
      </w:r>
      <w:r w:rsidRPr="00690F06">
        <w:rPr>
          <w:rFonts w:ascii="Arial" w:hAnsi="Arial" w:cs="Arial"/>
        </w:rPr>
        <w:t xml:space="preserve">intervention is to prevent unnecessary and avoidable exposure to </w:t>
      </w:r>
      <w:r w:rsidRPr="004950B5">
        <w:rPr>
          <w:rFonts w:ascii="Arial" w:hAnsi="Arial" w:cs="Arial"/>
        </w:rPr>
        <w:t xml:space="preserve">hazardous aromatic amines </w:t>
      </w:r>
      <w:r w:rsidR="00905E17" w:rsidRPr="004950B5">
        <w:rPr>
          <w:rFonts w:ascii="Arial" w:hAnsi="Arial" w:cs="Arial"/>
        </w:rPr>
        <w:t xml:space="preserve">in </w:t>
      </w:r>
      <w:r w:rsidRPr="004950B5">
        <w:rPr>
          <w:rFonts w:ascii="Arial" w:hAnsi="Arial" w:cs="Arial"/>
        </w:rPr>
        <w:t xml:space="preserve">direct and prolonged </w:t>
      </w:r>
      <w:r w:rsidRPr="006A58CF">
        <w:rPr>
          <w:rFonts w:ascii="Arial" w:hAnsi="Arial" w:cs="Arial"/>
        </w:rPr>
        <w:t xml:space="preserve">contact articles. </w:t>
      </w:r>
      <w:r w:rsidR="006A58CF" w:rsidRPr="006A58CF">
        <w:rPr>
          <w:rFonts w:ascii="Arial" w:hAnsi="Arial" w:cs="Arial"/>
        </w:rPr>
        <w:t>If successful, t</w:t>
      </w:r>
      <w:r w:rsidRPr="006A58CF">
        <w:rPr>
          <w:rFonts w:ascii="Arial" w:hAnsi="Arial" w:cs="Arial"/>
        </w:rPr>
        <w:t xml:space="preserve">his </w:t>
      </w:r>
      <w:r w:rsidR="004950B5" w:rsidRPr="00B7209D">
        <w:rPr>
          <w:rFonts w:ascii="Arial" w:hAnsi="Arial" w:cs="Arial"/>
        </w:rPr>
        <w:t xml:space="preserve">is likely to </w:t>
      </w:r>
      <w:r w:rsidRPr="006A58CF">
        <w:rPr>
          <w:rFonts w:ascii="Arial" w:hAnsi="Arial" w:cs="Arial"/>
        </w:rPr>
        <w:t>remove any addition to cumulative cancer risks, make existing controls and laws more effective in responding to this issue and improve consumer</w:t>
      </w:r>
      <w:r w:rsidRPr="00690F06">
        <w:rPr>
          <w:rFonts w:ascii="Arial" w:hAnsi="Arial" w:cs="Arial"/>
        </w:rPr>
        <w:t xml:space="preserve"> confidence in the market.</w:t>
      </w:r>
    </w:p>
    <w:p w:rsidR="008323E2" w:rsidRDefault="008323E2" w:rsidP="008323E2">
      <w:pPr>
        <w:rPr>
          <w:rFonts w:ascii="Arial" w:hAnsi="Arial" w:cs="Arial"/>
        </w:rPr>
      </w:pPr>
    </w:p>
    <w:p w:rsidR="008323E2" w:rsidRDefault="008323E2" w:rsidP="008323E2">
      <w:pPr>
        <w:rPr>
          <w:rFonts w:ascii="Arial" w:hAnsi="Arial" w:cs="Arial"/>
        </w:rPr>
      </w:pPr>
      <w:r w:rsidRPr="001D0AA1">
        <w:rPr>
          <w:rFonts w:ascii="Arial" w:hAnsi="Arial" w:cs="Arial"/>
        </w:rPr>
        <w:t>Whil</w:t>
      </w:r>
      <w:r w:rsidR="00E32B6F" w:rsidRPr="001D0AA1">
        <w:rPr>
          <w:rFonts w:ascii="Arial" w:hAnsi="Arial" w:cs="Arial"/>
        </w:rPr>
        <w:t>e</w:t>
      </w:r>
      <w:r w:rsidRPr="001D0AA1">
        <w:rPr>
          <w:rFonts w:ascii="Arial" w:hAnsi="Arial" w:cs="Arial"/>
        </w:rPr>
        <w:t xml:space="preserve"> it is not possible to quantify the increased risk of developing cancer due to additional exposure to hazardous aromatic amines from these articles, each individual case of cancer has direct impacts and cost on individuals, the community and government.</w:t>
      </w:r>
      <w:r w:rsidRPr="00690F06">
        <w:rPr>
          <w:rFonts w:ascii="Arial" w:hAnsi="Arial" w:cs="Arial"/>
        </w:rPr>
        <w:t xml:space="preserve"> </w:t>
      </w:r>
    </w:p>
    <w:p w:rsidR="008323E2" w:rsidRDefault="008323E2" w:rsidP="008323E2">
      <w:pPr>
        <w:rPr>
          <w:rFonts w:ascii="Arial" w:hAnsi="Arial" w:cs="Arial"/>
        </w:rPr>
      </w:pPr>
    </w:p>
    <w:p w:rsidR="004950B5" w:rsidRDefault="004950B5" w:rsidP="008323E2">
      <w:pPr>
        <w:rPr>
          <w:rFonts w:ascii="Arial" w:hAnsi="Arial" w:cs="Arial"/>
        </w:rPr>
      </w:pPr>
      <w:r w:rsidRPr="00B7209D">
        <w:rPr>
          <w:rFonts w:ascii="Arial" w:hAnsi="Arial" w:cs="Arial"/>
        </w:rPr>
        <w:t>The results of the ACCC survey described above</w:t>
      </w:r>
      <w:r w:rsidR="006A58CF">
        <w:rPr>
          <w:rFonts w:ascii="Arial" w:hAnsi="Arial" w:cs="Arial"/>
        </w:rPr>
        <w:t>,</w:t>
      </w:r>
      <w:r w:rsidRPr="00B7209D">
        <w:rPr>
          <w:rFonts w:ascii="Arial" w:hAnsi="Arial" w:cs="Arial"/>
        </w:rPr>
        <w:t xml:space="preserve"> which revealed that approximately three in every 100 items tested contained levels of hazardous azo dyes considered unacceptable, together with growing public concern </w:t>
      </w:r>
      <w:r w:rsidR="001313F8">
        <w:rPr>
          <w:rFonts w:ascii="Arial" w:hAnsi="Arial" w:cs="Arial"/>
        </w:rPr>
        <w:t>about</w:t>
      </w:r>
      <w:r w:rsidR="001313F8" w:rsidRPr="00B7209D">
        <w:rPr>
          <w:rFonts w:ascii="Arial" w:hAnsi="Arial" w:cs="Arial"/>
        </w:rPr>
        <w:t xml:space="preserve"> </w:t>
      </w:r>
      <w:r w:rsidRPr="00B7209D">
        <w:rPr>
          <w:rFonts w:ascii="Arial" w:hAnsi="Arial" w:cs="Arial"/>
        </w:rPr>
        <w:t xml:space="preserve">this issue, suggests that the current legislative framework may not be providing </w:t>
      </w:r>
      <w:r w:rsidR="00386570" w:rsidRPr="00B7209D">
        <w:rPr>
          <w:rFonts w:ascii="Arial" w:hAnsi="Arial" w:cs="Arial"/>
        </w:rPr>
        <w:t xml:space="preserve">Australian </w:t>
      </w:r>
      <w:r w:rsidRPr="00B7209D">
        <w:rPr>
          <w:rFonts w:ascii="Arial" w:hAnsi="Arial" w:cs="Arial"/>
        </w:rPr>
        <w:t>suppliers a sufficient incentive to ensure that the clothing and textile products they are distributing in Australia meet appropriate standards</w:t>
      </w:r>
      <w:r w:rsidR="006A58CF">
        <w:rPr>
          <w:rFonts w:ascii="Arial" w:hAnsi="Arial" w:cs="Arial"/>
        </w:rPr>
        <w:t xml:space="preserve"> and are safe</w:t>
      </w:r>
      <w:r w:rsidRPr="00B7209D">
        <w:rPr>
          <w:rFonts w:ascii="Arial" w:hAnsi="Arial" w:cs="Arial"/>
        </w:rPr>
        <w:t xml:space="preserve">. </w:t>
      </w:r>
    </w:p>
    <w:p w:rsidR="004950B5" w:rsidRDefault="004950B5" w:rsidP="008323E2">
      <w:pPr>
        <w:rPr>
          <w:rFonts w:ascii="Arial" w:hAnsi="Arial" w:cs="Arial"/>
        </w:rPr>
      </w:pPr>
    </w:p>
    <w:p w:rsidR="004950B5" w:rsidRDefault="004950B5" w:rsidP="00B7209D">
      <w:pPr>
        <w:rPr>
          <w:rFonts w:ascii="Arial" w:hAnsi="Arial" w:cs="Arial"/>
        </w:rPr>
      </w:pPr>
      <w:r w:rsidRPr="00B7209D">
        <w:rPr>
          <w:rFonts w:ascii="Arial" w:hAnsi="Arial" w:cs="Arial"/>
        </w:rPr>
        <w:t xml:space="preserve">For this reason, this draft RIS suggests consideration be given </w:t>
      </w:r>
      <w:r w:rsidR="006A58CF">
        <w:rPr>
          <w:rFonts w:ascii="Arial" w:hAnsi="Arial" w:cs="Arial"/>
        </w:rPr>
        <w:t>to</w:t>
      </w:r>
      <w:r w:rsidR="006A58CF" w:rsidRPr="00B7209D">
        <w:rPr>
          <w:rFonts w:ascii="Arial" w:hAnsi="Arial" w:cs="Arial"/>
        </w:rPr>
        <w:t xml:space="preserve"> </w:t>
      </w:r>
      <w:r w:rsidRPr="00B7209D">
        <w:rPr>
          <w:rFonts w:ascii="Arial" w:hAnsi="Arial" w:cs="Arial"/>
        </w:rPr>
        <w:t xml:space="preserve">additional measures to complement the </w:t>
      </w:r>
      <w:r w:rsidR="006A58CF">
        <w:rPr>
          <w:rFonts w:ascii="Arial" w:hAnsi="Arial" w:cs="Arial"/>
        </w:rPr>
        <w:t xml:space="preserve">general provisions of the </w:t>
      </w:r>
      <w:r w:rsidRPr="00B7209D">
        <w:rPr>
          <w:rFonts w:ascii="Arial" w:hAnsi="Arial" w:cs="Arial"/>
        </w:rPr>
        <w:t xml:space="preserve">ACL to </w:t>
      </w:r>
      <w:r w:rsidR="00A270DD">
        <w:rPr>
          <w:rFonts w:ascii="Arial" w:hAnsi="Arial" w:cs="Arial"/>
        </w:rPr>
        <w:t>provide further incentive to</w:t>
      </w:r>
      <w:r w:rsidRPr="00B7209D">
        <w:rPr>
          <w:rFonts w:ascii="Arial" w:hAnsi="Arial" w:cs="Arial"/>
        </w:rPr>
        <w:t xml:space="preserve"> supply safe consumer goods.</w:t>
      </w:r>
    </w:p>
    <w:p w:rsidR="00777677" w:rsidRDefault="00777677" w:rsidP="00B7209D">
      <w:pPr>
        <w:rPr>
          <w:rFonts w:ascii="Arial" w:hAnsi="Arial" w:cs="Arial"/>
        </w:rPr>
      </w:pPr>
    </w:p>
    <w:p w:rsidR="009641EE" w:rsidRDefault="00777677" w:rsidP="00B7209D">
      <w:pPr>
        <w:rPr>
          <w:rFonts w:ascii="Arial" w:hAnsi="Arial" w:cs="Arial"/>
        </w:rPr>
      </w:pPr>
      <w:r>
        <w:rPr>
          <w:rFonts w:ascii="Arial" w:hAnsi="Arial" w:cs="Arial"/>
        </w:rPr>
        <w:t xml:space="preserve">The alternative to </w:t>
      </w:r>
      <w:r w:rsidR="001313F8">
        <w:rPr>
          <w:rFonts w:ascii="Arial" w:hAnsi="Arial" w:cs="Arial"/>
        </w:rPr>
        <w:t>g</w:t>
      </w:r>
      <w:r>
        <w:rPr>
          <w:rFonts w:ascii="Arial" w:hAnsi="Arial" w:cs="Arial"/>
        </w:rPr>
        <w:t xml:space="preserve">overnment intervention is to adopt option 1 </w:t>
      </w:r>
      <w:r w:rsidR="00C06DA1">
        <w:rPr>
          <w:rFonts w:ascii="Arial" w:hAnsi="Arial" w:cs="Arial"/>
        </w:rPr>
        <w:t xml:space="preserve">as set out </w:t>
      </w:r>
      <w:r>
        <w:rPr>
          <w:rFonts w:ascii="Arial" w:hAnsi="Arial" w:cs="Arial"/>
        </w:rPr>
        <w:t xml:space="preserve">below and allow the industry to self-regulate. The previous section included discussion on problem self-correction. While </w:t>
      </w:r>
      <w:r w:rsidR="00C06DA1">
        <w:rPr>
          <w:rFonts w:ascii="Arial" w:hAnsi="Arial" w:cs="Arial"/>
        </w:rPr>
        <w:t>self-correction</w:t>
      </w:r>
      <w:r>
        <w:rPr>
          <w:rFonts w:ascii="Arial" w:hAnsi="Arial" w:cs="Arial"/>
        </w:rPr>
        <w:t xml:space="preserve"> is a possibility, the</w:t>
      </w:r>
      <w:r w:rsidR="009641EE">
        <w:rPr>
          <w:rFonts w:ascii="Arial" w:hAnsi="Arial" w:cs="Arial"/>
        </w:rPr>
        <w:t xml:space="preserve">re are a number of impediments to it as described above. Additionally, the restrictions in the </w:t>
      </w:r>
      <w:r>
        <w:rPr>
          <w:rFonts w:ascii="Arial" w:hAnsi="Arial" w:cs="Arial"/>
        </w:rPr>
        <w:t>EU have been in place for some time and</w:t>
      </w:r>
      <w:r w:rsidR="009641EE">
        <w:rPr>
          <w:rFonts w:ascii="Arial" w:hAnsi="Arial" w:cs="Arial"/>
        </w:rPr>
        <w:t xml:space="preserve"> it is therefore reasonable to expect Australian suppliers to be aware of them and to act to ensure the supply of safe goods in Australia. B</w:t>
      </w:r>
      <w:r>
        <w:rPr>
          <w:rFonts w:ascii="Arial" w:hAnsi="Arial" w:cs="Arial"/>
        </w:rPr>
        <w:t xml:space="preserve">ased on the ACCC’s survey results, </w:t>
      </w:r>
      <w:r w:rsidR="009641EE">
        <w:rPr>
          <w:rFonts w:ascii="Arial" w:hAnsi="Arial" w:cs="Arial"/>
        </w:rPr>
        <w:t>it appears this has not happened</w:t>
      </w:r>
      <w:r w:rsidR="00383005">
        <w:rPr>
          <w:rFonts w:ascii="Arial" w:hAnsi="Arial" w:cs="Arial"/>
        </w:rPr>
        <w:t xml:space="preserve"> in all cases</w:t>
      </w:r>
      <w:r>
        <w:rPr>
          <w:rFonts w:ascii="Arial" w:hAnsi="Arial" w:cs="Arial"/>
        </w:rPr>
        <w:t>.</w:t>
      </w:r>
      <w:r w:rsidR="00C06DA1">
        <w:rPr>
          <w:rFonts w:ascii="Arial" w:hAnsi="Arial" w:cs="Arial"/>
        </w:rPr>
        <w:t xml:space="preserve"> </w:t>
      </w:r>
    </w:p>
    <w:p w:rsidR="009641EE" w:rsidRDefault="009641EE" w:rsidP="00B7209D">
      <w:pPr>
        <w:rPr>
          <w:rFonts w:ascii="Arial" w:hAnsi="Arial" w:cs="Arial"/>
        </w:rPr>
      </w:pPr>
    </w:p>
    <w:p w:rsidR="00777677" w:rsidRDefault="00C06DA1" w:rsidP="00B7209D">
      <w:pPr>
        <w:rPr>
          <w:rFonts w:ascii="Arial" w:hAnsi="Arial" w:cs="Arial"/>
        </w:rPr>
      </w:pPr>
      <w:r>
        <w:rPr>
          <w:rFonts w:ascii="Arial" w:hAnsi="Arial" w:cs="Arial"/>
        </w:rPr>
        <w:t xml:space="preserve">The previous section also includes discussion on the likelihood that the problem will be completely solved. </w:t>
      </w:r>
      <w:r w:rsidR="00D20BDD">
        <w:rPr>
          <w:rFonts w:ascii="Arial" w:hAnsi="Arial" w:cs="Arial"/>
        </w:rPr>
        <w:t xml:space="preserve">While there is an argument that </w:t>
      </w:r>
      <w:r>
        <w:rPr>
          <w:rFonts w:ascii="Arial" w:hAnsi="Arial" w:cs="Arial"/>
        </w:rPr>
        <w:t xml:space="preserve">eliminating the problem may be difficult, given the risks to consumers due to exposure, it seems reasonable for government to attempt </w:t>
      </w:r>
      <w:r w:rsidR="00366C5C">
        <w:rPr>
          <w:rFonts w:ascii="Arial" w:hAnsi="Arial" w:cs="Arial"/>
        </w:rPr>
        <w:t xml:space="preserve">to </w:t>
      </w:r>
      <w:r w:rsidR="009641EE">
        <w:rPr>
          <w:rFonts w:ascii="Arial" w:hAnsi="Arial" w:cs="Arial"/>
        </w:rPr>
        <w:t xml:space="preserve">eliminate </w:t>
      </w:r>
      <w:r>
        <w:rPr>
          <w:rFonts w:ascii="Arial" w:hAnsi="Arial" w:cs="Arial"/>
        </w:rPr>
        <w:t>expos</w:t>
      </w:r>
      <w:r w:rsidR="00D20BDD">
        <w:rPr>
          <w:rFonts w:ascii="Arial" w:hAnsi="Arial" w:cs="Arial"/>
        </w:rPr>
        <w:t>ur</w:t>
      </w:r>
      <w:r>
        <w:rPr>
          <w:rFonts w:ascii="Arial" w:hAnsi="Arial" w:cs="Arial"/>
        </w:rPr>
        <w:t>e</w:t>
      </w:r>
      <w:r w:rsidR="009641EE">
        <w:rPr>
          <w:rFonts w:ascii="Arial" w:hAnsi="Arial" w:cs="Arial"/>
        </w:rPr>
        <w:t xml:space="preserve"> or at least reduce it</w:t>
      </w:r>
      <w:r>
        <w:rPr>
          <w:rFonts w:ascii="Arial" w:hAnsi="Arial" w:cs="Arial"/>
        </w:rPr>
        <w:t xml:space="preserve"> to the </w:t>
      </w:r>
      <w:r w:rsidR="009641EE">
        <w:rPr>
          <w:rFonts w:ascii="Arial" w:hAnsi="Arial" w:cs="Arial"/>
        </w:rPr>
        <w:t>point where it is as low as reasonably achievable.</w:t>
      </w:r>
      <w:r>
        <w:rPr>
          <w:rFonts w:ascii="Arial" w:hAnsi="Arial" w:cs="Arial"/>
        </w:rPr>
        <w:t xml:space="preserve"> </w:t>
      </w:r>
    </w:p>
    <w:p w:rsidR="00777677" w:rsidRDefault="00777677" w:rsidP="00B7209D">
      <w:pPr>
        <w:rPr>
          <w:rFonts w:ascii="Arial" w:hAnsi="Arial" w:cs="Arial"/>
        </w:rPr>
      </w:pPr>
    </w:p>
    <w:p w:rsidR="005154CA" w:rsidRPr="00B7209D" w:rsidRDefault="005154CA" w:rsidP="00B7209D">
      <w:pPr>
        <w:rPr>
          <w:rFonts w:ascii="Arial" w:hAnsi="Arial" w:cs="Arial"/>
        </w:rPr>
      </w:pPr>
    </w:p>
    <w:p w:rsidR="007657FE" w:rsidRDefault="007657FE" w:rsidP="00B7209D">
      <w:pPr>
        <w:keepNext/>
        <w:rPr>
          <w:rFonts w:ascii="Arial" w:hAnsi="Arial" w:cs="Arial"/>
          <w:sz w:val="24"/>
          <w:szCs w:val="24"/>
        </w:rPr>
      </w:pPr>
      <w:r w:rsidRPr="00B7209D">
        <w:rPr>
          <w:rFonts w:ascii="Arial" w:hAnsi="Arial" w:cs="Arial"/>
          <w:b/>
          <w:sz w:val="24"/>
          <w:szCs w:val="24"/>
        </w:rPr>
        <w:t xml:space="preserve">The legal framework </w:t>
      </w:r>
    </w:p>
    <w:p w:rsidR="005154CA" w:rsidRPr="00B7209D" w:rsidRDefault="005154CA" w:rsidP="00B7209D">
      <w:pPr>
        <w:keepNext/>
        <w:rPr>
          <w:rFonts w:ascii="Arial" w:hAnsi="Arial" w:cs="Arial"/>
          <w:sz w:val="24"/>
          <w:szCs w:val="24"/>
        </w:rPr>
      </w:pPr>
    </w:p>
    <w:p w:rsidR="007657FE" w:rsidRPr="00B7209D" w:rsidRDefault="007657FE" w:rsidP="007657FE">
      <w:pPr>
        <w:keepNext/>
        <w:spacing w:after="240"/>
        <w:rPr>
          <w:rFonts w:ascii="Arial" w:hAnsi="Arial" w:cs="Arial"/>
          <w:i/>
        </w:rPr>
      </w:pPr>
      <w:r w:rsidRPr="00B7209D">
        <w:rPr>
          <w:rFonts w:ascii="Arial" w:hAnsi="Arial" w:cs="Arial"/>
          <w:i/>
        </w:rPr>
        <w:t>Supply of safe goods under the Australian Consumer Law</w:t>
      </w:r>
    </w:p>
    <w:p w:rsidR="007657FE" w:rsidRDefault="007657FE" w:rsidP="007657FE">
      <w:pPr>
        <w:spacing w:after="240"/>
        <w:rPr>
          <w:rFonts w:ascii="Arial" w:hAnsi="Arial" w:cs="Arial"/>
        </w:rPr>
      </w:pPr>
      <w:r>
        <w:rPr>
          <w:rFonts w:ascii="Arial" w:hAnsi="Arial" w:cs="Arial"/>
        </w:rPr>
        <w:t>As discussed briefly in the introduction and more extensively in</w:t>
      </w:r>
      <w:r w:rsidRPr="00FC5ED3">
        <w:rPr>
          <w:rFonts w:ascii="Arial" w:hAnsi="Arial" w:cs="Arial"/>
        </w:rPr>
        <w:t xml:space="preserve"> </w:t>
      </w:r>
      <w:r w:rsidRPr="00B7209D">
        <w:rPr>
          <w:rFonts w:ascii="Arial" w:hAnsi="Arial" w:cs="Arial"/>
        </w:rPr>
        <w:t>Attachment 2</w:t>
      </w:r>
      <w:r w:rsidRPr="009278D5">
        <w:rPr>
          <w:rFonts w:ascii="Arial" w:hAnsi="Arial" w:cs="Arial"/>
        </w:rPr>
        <w:t>,</w:t>
      </w:r>
      <w:r w:rsidRPr="00FC5ED3">
        <w:rPr>
          <w:rFonts w:ascii="Arial" w:hAnsi="Arial" w:cs="Arial"/>
        </w:rPr>
        <w:t xml:space="preserve"> the</w:t>
      </w:r>
      <w:r>
        <w:rPr>
          <w:rFonts w:ascii="Arial" w:hAnsi="Arial" w:cs="Arial"/>
        </w:rPr>
        <w:t xml:space="preserve"> defective goods regime, a number of general provisions of the ACL and the common law provide, </w:t>
      </w:r>
      <w:r w:rsidRPr="00D97478">
        <w:rPr>
          <w:rFonts w:ascii="Arial" w:hAnsi="Arial" w:cs="Arial"/>
          <w:u w:val="single"/>
        </w:rPr>
        <w:t>in most circumstances</w:t>
      </w:r>
      <w:r>
        <w:rPr>
          <w:rFonts w:ascii="Arial" w:hAnsi="Arial" w:cs="Arial"/>
        </w:rPr>
        <w:t>, sufficient incentives for business to supply safe goods in Australia. The ACL also includes provisions for the compulsory recall of unsafe goods where, among other things, the goods will or may cause injury to any person. Voluntary or compulsory recalls are costly for suppliers and can be damaging to a supplier’s reputation, so the prospect of conducting a recall also acts as an incentive to supply safe goods.</w:t>
      </w:r>
    </w:p>
    <w:p w:rsidR="007657FE" w:rsidRDefault="007657FE" w:rsidP="007657FE">
      <w:pPr>
        <w:spacing w:after="240"/>
        <w:rPr>
          <w:rFonts w:ascii="Arial" w:hAnsi="Arial" w:cs="Arial"/>
        </w:rPr>
      </w:pPr>
      <w:r>
        <w:rPr>
          <w:rFonts w:ascii="Arial" w:hAnsi="Arial" w:cs="Arial"/>
        </w:rPr>
        <w:lastRenderedPageBreak/>
        <w:t xml:space="preserve">However, the survey results discussed above indicate that these incentives may not be sufficient in relation to the supply of clothing and textiles containing hazardous azo dyes. </w:t>
      </w:r>
    </w:p>
    <w:p w:rsidR="00F66779" w:rsidRDefault="00F479B8" w:rsidP="007657FE">
      <w:pPr>
        <w:spacing w:after="240"/>
        <w:rPr>
          <w:rFonts w:ascii="Arial" w:hAnsi="Arial" w:cs="Arial"/>
        </w:rPr>
      </w:pPr>
      <w:r>
        <w:rPr>
          <w:rFonts w:ascii="Arial" w:hAnsi="Arial" w:cs="Arial"/>
        </w:rPr>
        <w:t>In these circumstances, the ACL includes provisions for the Commonwealth Minister to develop specific regulation of consumer goods.</w:t>
      </w:r>
      <w:r w:rsidR="00F969C5">
        <w:rPr>
          <w:rFonts w:ascii="Arial" w:hAnsi="Arial" w:cs="Arial"/>
        </w:rPr>
        <w:t xml:space="preserve"> Development of regulation has been used successfully in the past to prevent the supply of unsafe consumer goods.</w:t>
      </w:r>
      <w:r w:rsidR="00F969C5">
        <w:rPr>
          <w:rStyle w:val="FootnoteReference"/>
          <w:rFonts w:ascii="Arial" w:hAnsi="Arial" w:cs="Arial"/>
        </w:rPr>
        <w:footnoteReference w:id="40"/>
      </w:r>
      <w:r w:rsidR="00F969C5">
        <w:rPr>
          <w:rFonts w:ascii="Arial" w:hAnsi="Arial" w:cs="Arial"/>
        </w:rPr>
        <w:t xml:space="preserve"> </w:t>
      </w:r>
      <w:r w:rsidR="00D20BDD">
        <w:rPr>
          <w:rFonts w:ascii="Arial" w:hAnsi="Arial" w:cs="Arial"/>
        </w:rPr>
        <w:t>The ACCC and state and territory product safety regulators regularly conduct both consumer and supplier education campaigns, surveillance activities on regulated and non-regulated goods and where necessary take action against suppliers of unsafe goods.</w:t>
      </w:r>
      <w:r w:rsidR="003C00E0">
        <w:rPr>
          <w:rFonts w:ascii="Arial" w:hAnsi="Arial" w:cs="Arial"/>
        </w:rPr>
        <w:t xml:space="preserve"> However, the scope and scale of direct and prolonged contact articles available in the market means that regulators cannot assess the safety of each article. Further, the </w:t>
      </w:r>
      <w:r w:rsidR="00F66779">
        <w:rPr>
          <w:rFonts w:ascii="Arial" w:hAnsi="Arial" w:cs="Arial"/>
        </w:rPr>
        <w:t>funds available for testing are</w:t>
      </w:r>
      <w:r w:rsidR="003C00E0">
        <w:rPr>
          <w:rFonts w:ascii="Arial" w:hAnsi="Arial" w:cs="Arial"/>
        </w:rPr>
        <w:t xml:space="preserve"> not unlimited and there is an opportunity cost in focussing </w:t>
      </w:r>
      <w:r w:rsidR="00F66779">
        <w:rPr>
          <w:rFonts w:ascii="Arial" w:hAnsi="Arial" w:cs="Arial"/>
        </w:rPr>
        <w:t>resources on one hazard at the expense of another.</w:t>
      </w:r>
      <w:r w:rsidR="003C00E0">
        <w:rPr>
          <w:rFonts w:ascii="Arial" w:hAnsi="Arial" w:cs="Arial"/>
        </w:rPr>
        <w:t xml:space="preserve"> This represents a potential barrier to achieving the goal of elim</w:t>
      </w:r>
      <w:r w:rsidR="00F66779">
        <w:rPr>
          <w:rFonts w:ascii="Arial" w:hAnsi="Arial" w:cs="Arial"/>
        </w:rPr>
        <w:t>inating</w:t>
      </w:r>
      <w:r w:rsidR="003C00E0">
        <w:rPr>
          <w:rFonts w:ascii="Arial" w:hAnsi="Arial" w:cs="Arial"/>
        </w:rPr>
        <w:t xml:space="preserve"> the problem.</w:t>
      </w:r>
    </w:p>
    <w:p w:rsidR="007657FE" w:rsidRPr="00B7209D" w:rsidRDefault="007657FE" w:rsidP="00B7209D">
      <w:pPr>
        <w:keepNext/>
        <w:spacing w:after="240"/>
        <w:rPr>
          <w:rFonts w:ascii="Arial" w:hAnsi="Arial" w:cs="Arial"/>
          <w:i/>
        </w:rPr>
      </w:pPr>
      <w:r w:rsidRPr="00B7209D">
        <w:rPr>
          <w:rFonts w:ascii="Arial" w:hAnsi="Arial" w:cs="Arial"/>
          <w:i/>
        </w:rPr>
        <w:t xml:space="preserve">Current Australian regulation of </w:t>
      </w:r>
      <w:r w:rsidR="00E66118">
        <w:rPr>
          <w:rFonts w:ascii="Arial" w:hAnsi="Arial" w:cs="Arial"/>
          <w:i/>
        </w:rPr>
        <w:t>hazardous azo dyes</w:t>
      </w:r>
      <w:r w:rsidR="006A58CF">
        <w:rPr>
          <w:rFonts w:ascii="Arial" w:hAnsi="Arial" w:cs="Arial"/>
          <w:i/>
        </w:rPr>
        <w:t xml:space="preserve"> via the </w:t>
      </w:r>
      <w:r w:rsidRPr="00B7209D">
        <w:rPr>
          <w:rFonts w:ascii="Arial" w:hAnsi="Arial" w:cs="Arial"/>
          <w:i/>
        </w:rPr>
        <w:t>Poisons Standard</w:t>
      </w:r>
    </w:p>
    <w:p w:rsidR="006A58CF" w:rsidRDefault="007657FE" w:rsidP="007657FE">
      <w:pPr>
        <w:spacing w:after="240"/>
        <w:rPr>
          <w:rFonts w:ascii="Arial" w:hAnsi="Arial" w:cs="Arial"/>
        </w:rPr>
      </w:pPr>
      <w:r>
        <w:rPr>
          <w:rFonts w:ascii="Arial" w:hAnsi="Arial" w:cs="Arial"/>
        </w:rPr>
        <w:t>In addition to the general provisions of the ACL, t</w:t>
      </w:r>
      <w:r w:rsidRPr="00690F06">
        <w:rPr>
          <w:rFonts w:ascii="Arial" w:hAnsi="Arial" w:cs="Arial"/>
        </w:rPr>
        <w:t>here are specific controls for other goods through various legislative instruments and regimes. Controls have been put in place to restrict the importation</w:t>
      </w:r>
      <w:r>
        <w:rPr>
          <w:rFonts w:ascii="Arial" w:hAnsi="Arial" w:cs="Arial"/>
        </w:rPr>
        <w:t xml:space="preserve"> and </w:t>
      </w:r>
      <w:r w:rsidRPr="00690F06">
        <w:rPr>
          <w:rFonts w:ascii="Arial" w:hAnsi="Arial" w:cs="Arial"/>
        </w:rPr>
        <w:t xml:space="preserve">use of hazardous azo dyes in Australia including their use in cosmetics </w:t>
      </w:r>
      <w:r>
        <w:rPr>
          <w:rFonts w:ascii="Arial" w:hAnsi="Arial" w:cs="Arial"/>
        </w:rPr>
        <w:t>through</w:t>
      </w:r>
      <w:r w:rsidRPr="00690F06">
        <w:rPr>
          <w:rFonts w:ascii="Arial" w:hAnsi="Arial" w:cs="Arial"/>
        </w:rPr>
        <w:t xml:space="preserve"> the </w:t>
      </w:r>
      <w:r w:rsidRPr="00690F06">
        <w:rPr>
          <w:rFonts w:ascii="Arial" w:hAnsi="Arial" w:cs="Arial"/>
          <w:i/>
        </w:rPr>
        <w:t>Standard for the Uniform Scheduling of Medicines and Poisons</w:t>
      </w:r>
      <w:r w:rsidRPr="00690F06">
        <w:rPr>
          <w:rFonts w:ascii="Arial" w:hAnsi="Arial" w:cs="Arial"/>
        </w:rPr>
        <w:t xml:space="preserve"> (</w:t>
      </w:r>
      <w:r>
        <w:rPr>
          <w:rFonts w:ascii="Arial" w:hAnsi="Arial" w:cs="Arial"/>
        </w:rPr>
        <w:t>legally</w:t>
      </w:r>
      <w:r w:rsidRPr="00690F06">
        <w:rPr>
          <w:rFonts w:ascii="Arial" w:hAnsi="Arial" w:cs="Arial"/>
        </w:rPr>
        <w:t xml:space="preserve"> referred to as the Poisons Standard) which is enforced by state and territory health agencies. </w:t>
      </w:r>
    </w:p>
    <w:p w:rsidR="007657FE" w:rsidRDefault="00BE2A4A" w:rsidP="007657FE">
      <w:pPr>
        <w:spacing w:after="240"/>
        <w:rPr>
          <w:rFonts w:ascii="Arial" w:hAnsi="Arial" w:cs="Arial"/>
          <w:color w:val="000000"/>
        </w:rPr>
      </w:pPr>
      <w:r>
        <w:rPr>
          <w:rFonts w:ascii="Arial" w:hAnsi="Arial" w:cs="Arial"/>
        </w:rPr>
        <w:t>A recent</w:t>
      </w:r>
      <w:r w:rsidR="007657FE" w:rsidRPr="00690F06">
        <w:rPr>
          <w:rFonts w:ascii="Arial" w:hAnsi="Arial" w:cs="Arial"/>
        </w:rPr>
        <w:t xml:space="preserve"> amendment to the Poisons Standard, which </w:t>
      </w:r>
      <w:r w:rsidRPr="00690F06">
        <w:rPr>
          <w:rFonts w:ascii="Arial" w:hAnsi="Arial" w:cs="Arial"/>
        </w:rPr>
        <w:t>stem</w:t>
      </w:r>
      <w:r>
        <w:rPr>
          <w:rFonts w:ascii="Arial" w:hAnsi="Arial" w:cs="Arial"/>
        </w:rPr>
        <w:t>med</w:t>
      </w:r>
      <w:r w:rsidR="007657FE" w:rsidRPr="00690F06">
        <w:rPr>
          <w:rFonts w:ascii="Arial" w:hAnsi="Arial" w:cs="Arial"/>
        </w:rPr>
        <w:t xml:space="preserve"> from a NICNAS recommendation on the risk to public health and safety, took effect on 1</w:t>
      </w:r>
      <w:r w:rsidR="007657FE">
        <w:rPr>
          <w:rFonts w:ascii="Arial" w:hAnsi="Arial" w:cs="Arial"/>
        </w:rPr>
        <w:t> </w:t>
      </w:r>
      <w:r w:rsidR="007657FE" w:rsidRPr="00690F06">
        <w:rPr>
          <w:rFonts w:ascii="Arial" w:hAnsi="Arial" w:cs="Arial"/>
        </w:rPr>
        <w:t>June 2014.</w:t>
      </w:r>
      <w:r w:rsidR="007657FE" w:rsidRPr="00690F06">
        <w:rPr>
          <w:rStyle w:val="FootnoteReference"/>
          <w:rFonts w:ascii="Arial" w:hAnsi="Arial" w:cs="Arial"/>
        </w:rPr>
        <w:footnoteReference w:id="41"/>
      </w:r>
      <w:r w:rsidR="007657FE" w:rsidRPr="00690F06">
        <w:rPr>
          <w:rFonts w:ascii="Arial" w:hAnsi="Arial" w:cs="Arial"/>
        </w:rPr>
        <w:t xml:space="preserve"> </w:t>
      </w:r>
      <w:r>
        <w:rPr>
          <w:rFonts w:ascii="Arial" w:hAnsi="Arial" w:cs="Arial"/>
        </w:rPr>
        <w:t xml:space="preserve">This amendment </w:t>
      </w:r>
      <w:r w:rsidR="007657FE" w:rsidRPr="00690F06">
        <w:rPr>
          <w:rFonts w:ascii="Arial" w:hAnsi="Arial" w:cs="Arial"/>
        </w:rPr>
        <w:t>will assist in controlling the supply, manufacture and use of the specific hazardous dyes</w:t>
      </w:r>
      <w:r>
        <w:rPr>
          <w:rFonts w:ascii="Arial" w:hAnsi="Arial" w:cs="Arial"/>
        </w:rPr>
        <w:t>. I</w:t>
      </w:r>
      <w:r w:rsidR="007657FE" w:rsidRPr="00690F06">
        <w:rPr>
          <w:rFonts w:ascii="Arial" w:hAnsi="Arial" w:cs="Arial"/>
        </w:rPr>
        <w:t xml:space="preserve">t will not prevent the supply of </w:t>
      </w:r>
      <w:r>
        <w:rPr>
          <w:rFonts w:ascii="Arial" w:hAnsi="Arial" w:cs="Arial"/>
        </w:rPr>
        <w:t>already dyed</w:t>
      </w:r>
      <w:r w:rsidR="007657FE" w:rsidRPr="00690F06">
        <w:rPr>
          <w:rFonts w:ascii="Arial" w:hAnsi="Arial" w:cs="Arial"/>
        </w:rPr>
        <w:t xml:space="preserve"> direct and prolonged contact articles</w:t>
      </w:r>
      <w:r>
        <w:rPr>
          <w:rFonts w:ascii="Arial" w:hAnsi="Arial" w:cs="Arial"/>
        </w:rPr>
        <w:t>.</w:t>
      </w:r>
      <w:r w:rsidR="007657FE" w:rsidRPr="00690F06">
        <w:rPr>
          <w:rFonts w:ascii="Arial" w:hAnsi="Arial" w:cs="Arial"/>
        </w:rPr>
        <w:t xml:space="preserve"> </w:t>
      </w:r>
      <w:r w:rsidR="007657FE" w:rsidRPr="00690F06">
        <w:rPr>
          <w:rFonts w:ascii="Arial" w:hAnsi="Arial" w:cs="Arial"/>
          <w:color w:val="000000"/>
        </w:rPr>
        <w:t xml:space="preserve">This is because the </w:t>
      </w:r>
      <w:r w:rsidR="007657FE" w:rsidRPr="00690F06">
        <w:rPr>
          <w:rFonts w:ascii="Arial" w:hAnsi="Arial" w:cs="Arial"/>
          <w:i/>
          <w:iCs/>
          <w:color w:val="000000"/>
        </w:rPr>
        <w:t>Poisons Standard</w:t>
      </w:r>
      <w:r w:rsidR="007657FE" w:rsidRPr="00690F06">
        <w:rPr>
          <w:rFonts w:ascii="Arial" w:hAnsi="Arial" w:cs="Arial"/>
          <w:color w:val="000000"/>
        </w:rPr>
        <w:t xml:space="preserve"> does not have the reach to control the full range of consumer goods that may contain hazardous chemical contaminants. </w:t>
      </w:r>
    </w:p>
    <w:p w:rsidR="007657FE" w:rsidRPr="00BA4FFC" w:rsidRDefault="007657FE" w:rsidP="007657FE">
      <w:pPr>
        <w:spacing w:after="240"/>
        <w:rPr>
          <w:rFonts w:ascii="Arial" w:hAnsi="Arial" w:cs="Arial"/>
          <w:color w:val="000000"/>
        </w:rPr>
      </w:pPr>
      <w:r w:rsidRPr="00690F06">
        <w:rPr>
          <w:rFonts w:ascii="Arial" w:hAnsi="Arial" w:cs="Arial"/>
          <w:color w:val="000000"/>
        </w:rPr>
        <w:t>The ACL remains the most appropriate legislative framework for controlling hazardous chemicals in</w:t>
      </w:r>
      <w:r w:rsidR="00FE33DE">
        <w:rPr>
          <w:rFonts w:ascii="Arial" w:hAnsi="Arial" w:cs="Arial"/>
          <w:color w:val="000000"/>
        </w:rPr>
        <w:t xml:space="preserve"> most</w:t>
      </w:r>
      <w:r w:rsidRPr="00690F06">
        <w:rPr>
          <w:rFonts w:ascii="Arial" w:hAnsi="Arial" w:cs="Arial"/>
          <w:color w:val="000000"/>
        </w:rPr>
        <w:t xml:space="preserve"> </w:t>
      </w:r>
      <w:r w:rsidRPr="00690F06">
        <w:rPr>
          <w:rFonts w:ascii="Arial" w:hAnsi="Arial" w:cs="Arial"/>
          <w:i/>
          <w:color w:val="000000"/>
        </w:rPr>
        <w:t>finished</w:t>
      </w:r>
      <w:r w:rsidRPr="00690F06">
        <w:rPr>
          <w:rFonts w:ascii="Arial" w:hAnsi="Arial" w:cs="Arial"/>
          <w:color w:val="000000"/>
        </w:rPr>
        <w:t xml:space="preserve"> consumer goods, as it specifically provides a range of </w:t>
      </w:r>
      <w:r>
        <w:rPr>
          <w:rFonts w:ascii="Arial" w:hAnsi="Arial" w:cs="Arial"/>
          <w:color w:val="000000"/>
        </w:rPr>
        <w:t xml:space="preserve">general and specific </w:t>
      </w:r>
      <w:r w:rsidRPr="00690F06">
        <w:rPr>
          <w:rFonts w:ascii="Arial" w:hAnsi="Arial" w:cs="Arial"/>
          <w:color w:val="000000"/>
        </w:rPr>
        <w:t xml:space="preserve">provisions </w:t>
      </w:r>
      <w:r>
        <w:rPr>
          <w:rFonts w:ascii="Arial" w:hAnsi="Arial" w:cs="Arial"/>
          <w:color w:val="000000"/>
        </w:rPr>
        <w:t>that</w:t>
      </w:r>
      <w:r w:rsidRPr="00690F06">
        <w:rPr>
          <w:rFonts w:ascii="Arial" w:hAnsi="Arial" w:cs="Arial"/>
          <w:color w:val="000000"/>
        </w:rPr>
        <w:t xml:space="preserve"> can be used to address unsafe finished consumer goods. This includes recall powers and the option to develop specific regulation to control the supply of </w:t>
      </w:r>
      <w:r w:rsidR="001313F8">
        <w:rPr>
          <w:rFonts w:ascii="Arial" w:hAnsi="Arial" w:cs="Arial"/>
          <w:color w:val="000000"/>
        </w:rPr>
        <w:t xml:space="preserve">unsafe </w:t>
      </w:r>
      <w:r w:rsidRPr="00690F06">
        <w:rPr>
          <w:rFonts w:ascii="Arial" w:hAnsi="Arial" w:cs="Arial"/>
          <w:color w:val="000000"/>
        </w:rPr>
        <w:t xml:space="preserve">consumer goods. </w:t>
      </w:r>
    </w:p>
    <w:p w:rsidR="008323E2" w:rsidRPr="00B7209D" w:rsidRDefault="008323E2" w:rsidP="008323E2">
      <w:pPr>
        <w:pStyle w:val="Heading1"/>
        <w:numPr>
          <w:ilvl w:val="0"/>
          <w:numId w:val="18"/>
        </w:numPr>
        <w:spacing w:after="240"/>
        <w:ind w:left="357" w:hanging="357"/>
        <w:rPr>
          <w:rFonts w:ascii="Lucida Fax" w:hAnsi="Lucida Fax"/>
        </w:rPr>
      </w:pPr>
      <w:bookmarkStart w:id="85" w:name="_Toc400521167"/>
      <w:bookmarkStart w:id="86" w:name="_Toc400521168"/>
      <w:bookmarkStart w:id="87" w:name="_Toc400521169"/>
      <w:bookmarkStart w:id="88" w:name="_Toc400521170"/>
      <w:bookmarkStart w:id="89" w:name="_Toc400521171"/>
      <w:bookmarkStart w:id="90" w:name="_Toc400521172"/>
      <w:bookmarkStart w:id="91" w:name="_Toc400521173"/>
      <w:bookmarkStart w:id="92" w:name="_Toc412196634"/>
      <w:bookmarkEnd w:id="85"/>
      <w:bookmarkEnd w:id="86"/>
      <w:bookmarkEnd w:id="87"/>
      <w:bookmarkEnd w:id="88"/>
      <w:bookmarkEnd w:id="89"/>
      <w:bookmarkEnd w:id="90"/>
      <w:bookmarkEnd w:id="91"/>
      <w:r w:rsidRPr="00B7209D">
        <w:rPr>
          <w:rFonts w:ascii="Lucida Fax" w:hAnsi="Lucida Fax"/>
        </w:rPr>
        <w:t>Policy options under consideration</w:t>
      </w:r>
      <w:bookmarkEnd w:id="92"/>
    </w:p>
    <w:p w:rsidR="00D231EA" w:rsidRDefault="005D60FB" w:rsidP="008323E2">
      <w:pPr>
        <w:rPr>
          <w:rFonts w:ascii="Arial" w:hAnsi="Arial" w:cs="Arial"/>
        </w:rPr>
      </w:pPr>
      <w:r>
        <w:rPr>
          <w:rFonts w:ascii="Arial" w:hAnsi="Arial" w:cs="Arial"/>
        </w:rPr>
        <w:t>There are four options identified below, of which three are discussed in more detail in the analysis of costs and benefits section below. T</w:t>
      </w:r>
      <w:r w:rsidR="008323E2">
        <w:rPr>
          <w:rFonts w:ascii="Arial" w:hAnsi="Arial" w:cs="Arial"/>
        </w:rPr>
        <w:t xml:space="preserve">wo </w:t>
      </w:r>
      <w:r w:rsidR="008323E2" w:rsidRPr="003B5053">
        <w:rPr>
          <w:rFonts w:ascii="Arial" w:hAnsi="Arial" w:cs="Arial"/>
        </w:rPr>
        <w:t>of the</w:t>
      </w:r>
      <w:r>
        <w:rPr>
          <w:rFonts w:ascii="Arial" w:hAnsi="Arial" w:cs="Arial"/>
        </w:rPr>
        <w:t xml:space="preserve"> options are </w:t>
      </w:r>
      <w:r w:rsidR="008323E2" w:rsidRPr="003B5053">
        <w:rPr>
          <w:rFonts w:ascii="Arial" w:hAnsi="Arial" w:cs="Arial"/>
        </w:rPr>
        <w:t>non-</w:t>
      </w:r>
      <w:r w:rsidR="00D231EA">
        <w:rPr>
          <w:rFonts w:ascii="Arial" w:hAnsi="Arial" w:cs="Arial"/>
        </w:rPr>
        <w:t>regulatory</w:t>
      </w:r>
      <w:r>
        <w:rPr>
          <w:rFonts w:ascii="Arial" w:hAnsi="Arial" w:cs="Arial"/>
        </w:rPr>
        <w:t xml:space="preserve">, and could </w:t>
      </w:r>
      <w:r w:rsidR="008323E2" w:rsidRPr="003B5053">
        <w:rPr>
          <w:rFonts w:ascii="Arial" w:hAnsi="Arial" w:cs="Arial"/>
        </w:rPr>
        <w:t xml:space="preserve">be established on an interim basis to </w:t>
      </w:r>
      <w:r w:rsidR="007858B4">
        <w:rPr>
          <w:rFonts w:ascii="Arial" w:hAnsi="Arial" w:cs="Arial"/>
        </w:rPr>
        <w:t>ascertain whether</w:t>
      </w:r>
      <w:r w:rsidR="008323E2" w:rsidRPr="003B5053">
        <w:rPr>
          <w:rFonts w:ascii="Arial" w:hAnsi="Arial" w:cs="Arial"/>
        </w:rPr>
        <w:t xml:space="preserve"> the market can </w:t>
      </w:r>
      <w:r w:rsidR="008323E2">
        <w:rPr>
          <w:rFonts w:ascii="Arial" w:hAnsi="Arial" w:cs="Arial"/>
        </w:rPr>
        <w:t>self-correct</w:t>
      </w:r>
      <w:r w:rsidR="008323E2" w:rsidRPr="003B5053">
        <w:rPr>
          <w:rFonts w:ascii="Arial" w:hAnsi="Arial" w:cs="Arial"/>
        </w:rPr>
        <w:t xml:space="preserve"> without further </w:t>
      </w:r>
      <w:r w:rsidR="00D231EA">
        <w:rPr>
          <w:rFonts w:ascii="Arial" w:hAnsi="Arial" w:cs="Arial"/>
        </w:rPr>
        <w:t>regulatory</w:t>
      </w:r>
      <w:r w:rsidR="008323E2" w:rsidRPr="003B5053">
        <w:rPr>
          <w:rFonts w:ascii="Arial" w:hAnsi="Arial" w:cs="Arial"/>
        </w:rPr>
        <w:t xml:space="preserve"> intervention. This approach accords with the idea of </w:t>
      </w:r>
      <w:r w:rsidR="008323E2" w:rsidRPr="003B5053">
        <w:rPr>
          <w:rFonts w:ascii="Arial" w:hAnsi="Arial" w:cs="Arial"/>
          <w:i/>
        </w:rPr>
        <w:t>responsive regulation</w:t>
      </w:r>
      <w:r w:rsidR="008323E2" w:rsidRPr="003B5053">
        <w:rPr>
          <w:rFonts w:ascii="Arial" w:hAnsi="Arial" w:cs="Arial"/>
        </w:rPr>
        <w:t>.</w:t>
      </w:r>
      <w:r w:rsidR="00715F4D">
        <w:rPr>
          <w:rStyle w:val="FootnoteReference"/>
          <w:rFonts w:ascii="Arial" w:hAnsi="Arial" w:cs="Arial"/>
        </w:rPr>
        <w:footnoteReference w:id="42"/>
      </w:r>
      <w:r w:rsidR="008323E2" w:rsidRPr="003B5053">
        <w:rPr>
          <w:rFonts w:ascii="Arial" w:hAnsi="Arial" w:cs="Arial"/>
        </w:rPr>
        <w:t xml:space="preserve"> Responsive regulation is a strategy which considers</w:t>
      </w:r>
      <w:r w:rsidR="00D231EA">
        <w:rPr>
          <w:rFonts w:ascii="Arial" w:hAnsi="Arial" w:cs="Arial"/>
        </w:rPr>
        <w:t>:</w:t>
      </w:r>
    </w:p>
    <w:p w:rsidR="00D231EA" w:rsidRDefault="00D231EA" w:rsidP="008323E2">
      <w:pPr>
        <w:rPr>
          <w:rFonts w:ascii="Arial" w:hAnsi="Arial" w:cs="Arial"/>
        </w:rPr>
      </w:pPr>
    </w:p>
    <w:p w:rsidR="00D231EA" w:rsidRDefault="008323E2" w:rsidP="009278D5">
      <w:pPr>
        <w:ind w:left="567" w:right="665"/>
        <w:jc w:val="both"/>
        <w:rPr>
          <w:rFonts w:ascii="Arial" w:hAnsi="Arial" w:cs="Arial"/>
        </w:rPr>
      </w:pPr>
      <w:r w:rsidRPr="003B5053">
        <w:rPr>
          <w:rFonts w:ascii="Arial" w:hAnsi="Arial" w:cs="Arial"/>
          <w:i/>
        </w:rPr>
        <w:lastRenderedPageBreak/>
        <w:t>“</w:t>
      </w:r>
      <w:r w:rsidR="00D231EA">
        <w:rPr>
          <w:rFonts w:ascii="Arial" w:hAnsi="Arial" w:cs="Arial"/>
          <w:i/>
        </w:rPr>
        <w:t>…</w:t>
      </w:r>
      <w:r w:rsidRPr="003B5053">
        <w:rPr>
          <w:rFonts w:ascii="Arial" w:hAnsi="Arial" w:cs="Arial"/>
          <w:i/>
        </w:rPr>
        <w:t>that regulation should respond to industry conduct, to how effectively industry is making private regulation work. The very behaviour of an industry or the firms therein should channel the regulatory strategy to greater or lesser degrees of government intervention”</w:t>
      </w:r>
      <w:r w:rsidRPr="003B5053">
        <w:rPr>
          <w:rFonts w:ascii="Arial" w:hAnsi="Arial" w:cs="Arial"/>
        </w:rPr>
        <w:t>.</w:t>
      </w:r>
      <w:r w:rsidRPr="003B5053">
        <w:rPr>
          <w:rStyle w:val="FootnoteReference"/>
          <w:rFonts w:ascii="Arial" w:hAnsi="Arial" w:cs="Arial"/>
        </w:rPr>
        <w:footnoteReference w:id="43"/>
      </w:r>
      <w:r w:rsidRPr="003B5053">
        <w:rPr>
          <w:rFonts w:ascii="Arial" w:hAnsi="Arial" w:cs="Arial"/>
        </w:rPr>
        <w:t xml:space="preserve"> </w:t>
      </w:r>
    </w:p>
    <w:p w:rsidR="00D231EA" w:rsidRDefault="00D231EA" w:rsidP="00FC5ED3">
      <w:pPr>
        <w:rPr>
          <w:rFonts w:ascii="Arial" w:hAnsi="Arial" w:cs="Arial"/>
        </w:rPr>
      </w:pPr>
    </w:p>
    <w:p w:rsidR="008323E2" w:rsidRPr="008C6419" w:rsidRDefault="008323E2" w:rsidP="008323E2">
      <w:pPr>
        <w:rPr>
          <w:rFonts w:ascii="Arial" w:hAnsi="Arial" w:cs="Arial"/>
        </w:rPr>
      </w:pPr>
      <w:r w:rsidRPr="003B5053">
        <w:rPr>
          <w:rFonts w:ascii="Arial" w:hAnsi="Arial" w:cs="Arial"/>
        </w:rPr>
        <w:t xml:space="preserve">Any </w:t>
      </w:r>
      <w:r w:rsidR="00D231EA">
        <w:rPr>
          <w:rFonts w:ascii="Arial" w:hAnsi="Arial" w:cs="Arial"/>
        </w:rPr>
        <w:t>regulatory</w:t>
      </w:r>
      <w:r w:rsidRPr="003B5053">
        <w:rPr>
          <w:rFonts w:ascii="Arial" w:hAnsi="Arial" w:cs="Arial"/>
        </w:rPr>
        <w:t xml:space="preserve"> intervention could also be subject to a sunset clause. This is relevant given the earlier discussion </w:t>
      </w:r>
      <w:r w:rsidR="00005073">
        <w:rPr>
          <w:rFonts w:ascii="Arial" w:hAnsi="Arial" w:cs="Arial"/>
        </w:rPr>
        <w:t xml:space="preserve">about </w:t>
      </w:r>
      <w:r w:rsidRPr="003B5053">
        <w:rPr>
          <w:rFonts w:ascii="Arial" w:hAnsi="Arial" w:cs="Arial"/>
        </w:rPr>
        <w:t>the</w:t>
      </w:r>
      <w:r w:rsidR="00005073">
        <w:rPr>
          <w:rFonts w:ascii="Arial" w:hAnsi="Arial" w:cs="Arial"/>
        </w:rPr>
        <w:t xml:space="preserve"> decline in</w:t>
      </w:r>
      <w:r w:rsidRPr="003B5053">
        <w:rPr>
          <w:rFonts w:ascii="Arial" w:hAnsi="Arial" w:cs="Arial"/>
        </w:rPr>
        <w:t xml:space="preserve"> manufacture of hazardous azo dyes</w:t>
      </w:r>
      <w:r w:rsidR="006A58CF">
        <w:rPr>
          <w:rFonts w:ascii="Arial" w:hAnsi="Arial" w:cs="Arial"/>
        </w:rPr>
        <w:t xml:space="preserve"> (and therefore the possible decline in their use)</w:t>
      </w:r>
      <w:r w:rsidR="00005073">
        <w:rPr>
          <w:rFonts w:ascii="Arial" w:hAnsi="Arial" w:cs="Arial"/>
        </w:rPr>
        <w:t>,</w:t>
      </w:r>
      <w:r w:rsidR="006A58CF">
        <w:rPr>
          <w:rFonts w:ascii="Arial" w:hAnsi="Arial" w:cs="Arial"/>
        </w:rPr>
        <w:t xml:space="preserve"> </w:t>
      </w:r>
      <w:r w:rsidRPr="003B5053">
        <w:rPr>
          <w:rFonts w:ascii="Arial" w:hAnsi="Arial" w:cs="Arial"/>
        </w:rPr>
        <w:t xml:space="preserve">meaning the problem may be finite. The policy options are outlined in this section of the draft RIS. </w:t>
      </w:r>
    </w:p>
    <w:p w:rsidR="008323E2" w:rsidRPr="00690F06" w:rsidRDefault="008323E2" w:rsidP="008323E2">
      <w:pPr>
        <w:pStyle w:val="Heading2"/>
        <w:spacing w:after="240"/>
        <w:rPr>
          <w:rFonts w:ascii="Arial" w:hAnsi="Arial" w:cs="Arial"/>
          <w:i w:val="0"/>
        </w:rPr>
      </w:pPr>
      <w:bookmarkStart w:id="93" w:name="_Toc412196635"/>
      <w:r w:rsidRPr="00690F06">
        <w:rPr>
          <w:rFonts w:ascii="Arial" w:hAnsi="Arial" w:cs="Arial"/>
        </w:rPr>
        <w:t>4.1</w:t>
      </w:r>
      <w:r w:rsidRPr="00690F06">
        <w:rPr>
          <w:rFonts w:ascii="Arial" w:hAnsi="Arial" w:cs="Arial"/>
        </w:rPr>
        <w:tab/>
      </w:r>
      <w:r w:rsidR="00005073" w:rsidRPr="00690F06">
        <w:rPr>
          <w:rFonts w:ascii="Arial" w:hAnsi="Arial" w:cs="Arial"/>
        </w:rPr>
        <w:t>Option</w:t>
      </w:r>
      <w:r w:rsidR="00005073">
        <w:rPr>
          <w:rFonts w:ascii="Arial" w:hAnsi="Arial" w:cs="Arial"/>
        </w:rPr>
        <w:t> </w:t>
      </w:r>
      <w:r w:rsidRPr="00690F06">
        <w:rPr>
          <w:rFonts w:ascii="Arial" w:hAnsi="Arial" w:cs="Arial"/>
        </w:rPr>
        <w:t xml:space="preserve">1: </w:t>
      </w:r>
      <w:r w:rsidR="00DB33EA">
        <w:rPr>
          <w:rFonts w:ascii="Arial" w:hAnsi="Arial" w:cs="Arial"/>
        </w:rPr>
        <w:t>Status quo</w:t>
      </w:r>
      <w:r w:rsidR="00090553">
        <w:rPr>
          <w:rFonts w:ascii="Arial" w:hAnsi="Arial" w:cs="Arial"/>
        </w:rPr>
        <w:t xml:space="preserve"> (</w:t>
      </w:r>
      <w:r w:rsidR="0094634A">
        <w:rPr>
          <w:rFonts w:ascii="Arial" w:hAnsi="Arial" w:cs="Arial"/>
        </w:rPr>
        <w:t xml:space="preserve">continued </w:t>
      </w:r>
      <w:r w:rsidR="00090553">
        <w:rPr>
          <w:rFonts w:ascii="Arial" w:hAnsi="Arial" w:cs="Arial"/>
        </w:rPr>
        <w:t>industry self-regulation)</w:t>
      </w:r>
      <w:bookmarkEnd w:id="93"/>
    </w:p>
    <w:p w:rsidR="00DE5059" w:rsidRPr="00CD0275" w:rsidRDefault="008323E2" w:rsidP="008323E2">
      <w:pPr>
        <w:spacing w:before="240" w:after="240"/>
        <w:rPr>
          <w:rFonts w:ascii="Arial" w:hAnsi="Arial" w:cs="Arial"/>
        </w:rPr>
      </w:pPr>
      <w:r w:rsidRPr="00CD0275">
        <w:rPr>
          <w:rFonts w:ascii="Arial" w:hAnsi="Arial" w:cs="Arial"/>
        </w:rPr>
        <w:t xml:space="preserve">Under </w:t>
      </w:r>
      <w:r w:rsidR="00005073" w:rsidRPr="00CD0275">
        <w:rPr>
          <w:rFonts w:ascii="Arial" w:hAnsi="Arial" w:cs="Arial"/>
        </w:rPr>
        <w:t>option </w:t>
      </w:r>
      <w:r w:rsidRPr="00CD0275">
        <w:rPr>
          <w:rFonts w:ascii="Arial" w:hAnsi="Arial" w:cs="Arial"/>
        </w:rPr>
        <w:t>1</w:t>
      </w:r>
      <w:r w:rsidR="00836D3B" w:rsidRPr="00CD0275">
        <w:rPr>
          <w:rFonts w:ascii="Arial" w:hAnsi="Arial" w:cs="Arial"/>
        </w:rPr>
        <w:t>,</w:t>
      </w:r>
      <w:r w:rsidRPr="00CD0275">
        <w:rPr>
          <w:rFonts w:ascii="Arial" w:hAnsi="Arial" w:cs="Arial"/>
        </w:rPr>
        <w:t xml:space="preserve"> business would manage the supply of direct and prolonged contact articles in the same manner as </w:t>
      </w:r>
      <w:r w:rsidR="00836D3B" w:rsidRPr="00CD0275">
        <w:rPr>
          <w:rFonts w:ascii="Arial" w:hAnsi="Arial" w:cs="Arial"/>
        </w:rPr>
        <w:t xml:space="preserve">it </w:t>
      </w:r>
      <w:r w:rsidR="00005073" w:rsidRPr="00CD0275">
        <w:rPr>
          <w:rFonts w:ascii="Arial" w:hAnsi="Arial" w:cs="Arial"/>
        </w:rPr>
        <w:t xml:space="preserve">has done </w:t>
      </w:r>
      <w:r w:rsidR="0094634A" w:rsidRPr="00CD0275">
        <w:rPr>
          <w:rFonts w:ascii="Arial" w:hAnsi="Arial" w:cs="Arial"/>
        </w:rPr>
        <w:t>both before and after</w:t>
      </w:r>
      <w:r w:rsidRPr="00CD0275">
        <w:rPr>
          <w:rFonts w:ascii="Arial" w:hAnsi="Arial" w:cs="Arial"/>
        </w:rPr>
        <w:t xml:space="preserve"> the ACCC survey</w:t>
      </w:r>
      <w:r w:rsidR="00836D3B" w:rsidRPr="00CD0275">
        <w:rPr>
          <w:rFonts w:ascii="Arial" w:hAnsi="Arial" w:cs="Arial"/>
        </w:rPr>
        <w:t xml:space="preserve">. </w:t>
      </w:r>
      <w:r w:rsidR="00005073" w:rsidRPr="00CD0275">
        <w:rPr>
          <w:rFonts w:ascii="Arial" w:hAnsi="Arial" w:cs="Arial"/>
        </w:rPr>
        <w:t xml:space="preserve">Following </w:t>
      </w:r>
      <w:r w:rsidR="00DE5059" w:rsidRPr="00CD0275">
        <w:rPr>
          <w:rFonts w:ascii="Arial" w:hAnsi="Arial" w:cs="Arial"/>
        </w:rPr>
        <w:t xml:space="preserve">the survey, the </w:t>
      </w:r>
      <w:r w:rsidR="00836D3B" w:rsidRPr="00CD0275">
        <w:rPr>
          <w:rFonts w:ascii="Arial" w:hAnsi="Arial" w:cs="Arial"/>
        </w:rPr>
        <w:t xml:space="preserve">ACCC </w:t>
      </w:r>
      <w:r w:rsidR="00EA08CE" w:rsidRPr="00CD0275">
        <w:rPr>
          <w:rFonts w:ascii="Arial" w:hAnsi="Arial" w:cs="Arial"/>
        </w:rPr>
        <w:t xml:space="preserve">published guidance on safe concentrations of particular chemicals </w:t>
      </w:r>
      <w:r w:rsidR="00831355" w:rsidRPr="00CD0275">
        <w:rPr>
          <w:rFonts w:ascii="Arial" w:hAnsi="Arial" w:cs="Arial"/>
        </w:rPr>
        <w:t>(</w:t>
      </w:r>
      <w:proofErr w:type="spellStart"/>
      <w:r w:rsidR="00831355" w:rsidRPr="00CD0275">
        <w:rPr>
          <w:rFonts w:ascii="Arial" w:hAnsi="Arial" w:cs="Arial"/>
        </w:rPr>
        <w:t>SCoC</w:t>
      </w:r>
      <w:proofErr w:type="spellEnd"/>
      <w:r w:rsidR="00831355" w:rsidRPr="00CD0275">
        <w:rPr>
          <w:rFonts w:ascii="Arial" w:hAnsi="Arial" w:cs="Arial"/>
        </w:rPr>
        <w:t xml:space="preserve">) </w:t>
      </w:r>
      <w:r w:rsidR="00EA08CE" w:rsidRPr="00CD0275">
        <w:rPr>
          <w:rFonts w:ascii="Arial" w:hAnsi="Arial" w:cs="Arial"/>
        </w:rPr>
        <w:t>in consumer goods on the Product Safety Australia website.</w:t>
      </w:r>
      <w:r w:rsidR="00EA08CE" w:rsidRPr="00CD0275">
        <w:rPr>
          <w:rStyle w:val="FootnoteReference"/>
          <w:rFonts w:ascii="Arial" w:hAnsi="Arial" w:cs="Arial"/>
        </w:rPr>
        <w:footnoteReference w:id="44"/>
      </w:r>
      <w:r w:rsidR="00EA08CE" w:rsidRPr="00CD0275">
        <w:rPr>
          <w:rFonts w:ascii="Arial" w:hAnsi="Arial" w:cs="Arial"/>
        </w:rPr>
        <w:t xml:space="preserve"> Th</w:t>
      </w:r>
      <w:r w:rsidR="00831355" w:rsidRPr="00CD0275">
        <w:rPr>
          <w:rFonts w:ascii="Arial" w:hAnsi="Arial" w:cs="Arial"/>
        </w:rPr>
        <w:t xml:space="preserve">e </w:t>
      </w:r>
      <w:proofErr w:type="spellStart"/>
      <w:r w:rsidR="00831355" w:rsidRPr="00CD0275">
        <w:rPr>
          <w:rFonts w:ascii="Arial" w:hAnsi="Arial" w:cs="Arial"/>
        </w:rPr>
        <w:t>SCoC</w:t>
      </w:r>
      <w:proofErr w:type="spellEnd"/>
      <w:r w:rsidR="00831355" w:rsidRPr="00CD0275">
        <w:rPr>
          <w:rFonts w:ascii="Arial" w:hAnsi="Arial" w:cs="Arial"/>
        </w:rPr>
        <w:t xml:space="preserve"> provides guidance on </w:t>
      </w:r>
      <w:r w:rsidR="00EA08CE" w:rsidRPr="00CD0275">
        <w:rPr>
          <w:rFonts w:ascii="Arial" w:hAnsi="Arial" w:cs="Arial"/>
        </w:rPr>
        <w:t>safe concentrations of aromatic amines in direct and prolonged contact articles</w:t>
      </w:r>
      <w:r w:rsidR="00CD0275" w:rsidRPr="00CD0275">
        <w:rPr>
          <w:rFonts w:ascii="Arial" w:hAnsi="Arial" w:cs="Arial"/>
        </w:rPr>
        <w:t xml:space="preserve"> and is voluntary</w:t>
      </w:r>
      <w:r w:rsidR="00836D3B" w:rsidRPr="00CD0275">
        <w:rPr>
          <w:rFonts w:ascii="Arial" w:hAnsi="Arial" w:cs="Arial"/>
        </w:rPr>
        <w:t>. The</w:t>
      </w:r>
      <w:r w:rsidR="00831355" w:rsidRPr="00CD0275">
        <w:rPr>
          <w:rFonts w:ascii="Arial" w:hAnsi="Arial" w:cs="Arial"/>
        </w:rPr>
        <w:t xml:space="preserve"> </w:t>
      </w:r>
      <w:proofErr w:type="spellStart"/>
      <w:r w:rsidR="00831355" w:rsidRPr="00CD0275">
        <w:rPr>
          <w:rFonts w:ascii="Arial" w:hAnsi="Arial" w:cs="Arial"/>
        </w:rPr>
        <w:t>SCoC</w:t>
      </w:r>
      <w:proofErr w:type="spellEnd"/>
      <w:r w:rsidR="00831355" w:rsidRPr="00CD0275">
        <w:rPr>
          <w:rFonts w:ascii="Arial" w:hAnsi="Arial" w:cs="Arial"/>
        </w:rPr>
        <w:t xml:space="preserve"> is</w:t>
      </w:r>
      <w:r w:rsidR="00DE5059" w:rsidRPr="00CD0275">
        <w:rPr>
          <w:rFonts w:ascii="Arial" w:hAnsi="Arial" w:cs="Arial"/>
        </w:rPr>
        <w:t xml:space="preserve"> based on the best available scientific evidence cited by relevant expert authorities and </w:t>
      </w:r>
      <w:r w:rsidR="00831355" w:rsidRPr="00CD0275">
        <w:rPr>
          <w:rFonts w:ascii="Arial" w:hAnsi="Arial" w:cs="Arial"/>
        </w:rPr>
        <w:t>should assist</w:t>
      </w:r>
      <w:r w:rsidR="00836D3B" w:rsidRPr="00CD0275">
        <w:rPr>
          <w:rFonts w:ascii="Arial" w:hAnsi="Arial" w:cs="Arial"/>
        </w:rPr>
        <w:t xml:space="preserve"> business </w:t>
      </w:r>
      <w:r w:rsidR="00831355" w:rsidRPr="00CD0275">
        <w:rPr>
          <w:rFonts w:ascii="Arial" w:hAnsi="Arial" w:cs="Arial"/>
        </w:rPr>
        <w:t>in the supply of safe direct and pronged contact articles in Australia</w:t>
      </w:r>
      <w:r w:rsidR="00836D3B" w:rsidRPr="00CD0275">
        <w:rPr>
          <w:rFonts w:ascii="Arial" w:hAnsi="Arial" w:cs="Arial"/>
        </w:rPr>
        <w:t>.</w:t>
      </w:r>
      <w:r w:rsidR="00DE5059" w:rsidRPr="00CD0275">
        <w:rPr>
          <w:rFonts w:ascii="Arial" w:hAnsi="Arial" w:cs="Arial"/>
        </w:rPr>
        <w:t xml:space="preserve"> </w:t>
      </w:r>
    </w:p>
    <w:p w:rsidR="008323E2" w:rsidRPr="00CD0275" w:rsidRDefault="00DE5059" w:rsidP="008323E2">
      <w:pPr>
        <w:spacing w:before="240" w:after="240"/>
        <w:rPr>
          <w:rFonts w:ascii="Arial" w:hAnsi="Arial" w:cs="Arial"/>
        </w:rPr>
      </w:pPr>
      <w:r w:rsidRPr="00CD0275">
        <w:rPr>
          <w:rFonts w:ascii="Arial" w:hAnsi="Arial" w:cs="Arial"/>
        </w:rPr>
        <w:t xml:space="preserve">The ACCC regards these </w:t>
      </w:r>
      <w:r w:rsidR="00831355" w:rsidRPr="00CD0275">
        <w:rPr>
          <w:rFonts w:ascii="Arial" w:hAnsi="Arial" w:cs="Arial"/>
        </w:rPr>
        <w:t>safe concentrations of particular chemicals</w:t>
      </w:r>
      <w:r w:rsidRPr="00CD0275">
        <w:rPr>
          <w:rFonts w:ascii="Arial" w:hAnsi="Arial" w:cs="Arial"/>
        </w:rPr>
        <w:t xml:space="preserve"> as being the levels at which consumer goods are safe and fit for purpose. The </w:t>
      </w:r>
      <w:proofErr w:type="spellStart"/>
      <w:r w:rsidRPr="00CD0275">
        <w:rPr>
          <w:rFonts w:ascii="Arial" w:hAnsi="Arial" w:cs="Arial"/>
        </w:rPr>
        <w:t>S</w:t>
      </w:r>
      <w:r w:rsidR="00831355" w:rsidRPr="00CD0275">
        <w:rPr>
          <w:rFonts w:ascii="Arial" w:hAnsi="Arial" w:cs="Arial"/>
        </w:rPr>
        <w:t>CoC</w:t>
      </w:r>
      <w:proofErr w:type="spellEnd"/>
      <w:r w:rsidRPr="00CD0275">
        <w:rPr>
          <w:rFonts w:ascii="Arial" w:hAnsi="Arial" w:cs="Arial"/>
        </w:rPr>
        <w:t xml:space="preserve"> clarif</w:t>
      </w:r>
      <w:r w:rsidR="00831355" w:rsidRPr="00CD0275">
        <w:rPr>
          <w:rFonts w:ascii="Arial" w:hAnsi="Arial" w:cs="Arial"/>
        </w:rPr>
        <w:t>ies</w:t>
      </w:r>
      <w:r w:rsidRPr="00CD0275">
        <w:rPr>
          <w:rFonts w:ascii="Arial" w:hAnsi="Arial" w:cs="Arial"/>
        </w:rPr>
        <w:t xml:space="preserve"> the thresholds at which consumer goods would be considered defective</w:t>
      </w:r>
      <w:r w:rsidR="0094634A" w:rsidRPr="00CD0275">
        <w:rPr>
          <w:rFonts w:ascii="Arial" w:hAnsi="Arial" w:cs="Arial"/>
        </w:rPr>
        <w:t xml:space="preserve"> (i.e. </w:t>
      </w:r>
      <w:r w:rsidRPr="00CD0275">
        <w:rPr>
          <w:rFonts w:ascii="Arial" w:hAnsi="Arial" w:cs="Arial"/>
          <w:i/>
        </w:rPr>
        <w:t>not</w:t>
      </w:r>
      <w:r w:rsidRPr="00CD0275">
        <w:rPr>
          <w:rFonts w:ascii="Arial" w:hAnsi="Arial" w:cs="Arial"/>
        </w:rPr>
        <w:t xml:space="preserve"> safe </w:t>
      </w:r>
      <w:r w:rsidR="0094634A" w:rsidRPr="00CD0275">
        <w:rPr>
          <w:rFonts w:ascii="Arial" w:hAnsi="Arial" w:cs="Arial"/>
        </w:rPr>
        <w:t xml:space="preserve">and </w:t>
      </w:r>
      <w:r w:rsidR="0094634A" w:rsidRPr="00CD0275">
        <w:rPr>
          <w:rFonts w:ascii="Arial" w:hAnsi="Arial" w:cs="Arial"/>
          <w:i/>
        </w:rPr>
        <w:t>not</w:t>
      </w:r>
      <w:r w:rsidR="0094634A" w:rsidRPr="00CD0275">
        <w:rPr>
          <w:rFonts w:ascii="Arial" w:hAnsi="Arial" w:cs="Arial"/>
        </w:rPr>
        <w:t xml:space="preserve"> </w:t>
      </w:r>
      <w:r w:rsidRPr="00CD0275">
        <w:rPr>
          <w:rFonts w:ascii="Arial" w:hAnsi="Arial" w:cs="Arial"/>
        </w:rPr>
        <w:t>fit for purpose</w:t>
      </w:r>
      <w:r w:rsidR="0094634A" w:rsidRPr="00CD0275">
        <w:rPr>
          <w:rFonts w:ascii="Arial" w:hAnsi="Arial" w:cs="Arial"/>
        </w:rPr>
        <w:t>)</w:t>
      </w:r>
      <w:r w:rsidR="00005073" w:rsidRPr="00CD0275">
        <w:rPr>
          <w:rFonts w:ascii="Arial" w:hAnsi="Arial" w:cs="Arial"/>
        </w:rPr>
        <w:t>,</w:t>
      </w:r>
      <w:r w:rsidRPr="00CD0275">
        <w:rPr>
          <w:rFonts w:ascii="Arial" w:hAnsi="Arial" w:cs="Arial"/>
        </w:rPr>
        <w:t xml:space="preserve"> based on the most authoritative scientific information available. In the case of hazardous azo dyes, these thresholds are modelled on the EU limits for which there is an established and accredited testing methodology.</w:t>
      </w:r>
    </w:p>
    <w:p w:rsidR="007A425C" w:rsidRPr="00D02D22" w:rsidRDefault="00DE5059" w:rsidP="00DE5059">
      <w:pPr>
        <w:spacing w:before="240" w:after="240"/>
        <w:rPr>
          <w:rFonts w:ascii="Arial" w:hAnsi="Arial" w:cs="Arial"/>
        </w:rPr>
      </w:pPr>
      <w:r w:rsidRPr="00CD0275">
        <w:rPr>
          <w:rFonts w:ascii="Arial" w:hAnsi="Arial" w:cs="Arial"/>
        </w:rPr>
        <w:t xml:space="preserve">The general provisions of the ACL would still apply. However, it would not be an offence to exceed </w:t>
      </w:r>
      <w:r w:rsidR="00005073" w:rsidRPr="00CD0275">
        <w:rPr>
          <w:rFonts w:ascii="Arial" w:hAnsi="Arial" w:cs="Arial"/>
        </w:rPr>
        <w:t>a</w:t>
      </w:r>
      <w:r w:rsidR="00831355" w:rsidRPr="00CD0275">
        <w:rPr>
          <w:rFonts w:ascii="Arial" w:hAnsi="Arial" w:cs="Arial"/>
        </w:rPr>
        <w:t xml:space="preserve"> </w:t>
      </w:r>
      <w:proofErr w:type="spellStart"/>
      <w:r w:rsidR="00831355" w:rsidRPr="00CD0275">
        <w:rPr>
          <w:rFonts w:ascii="Arial" w:hAnsi="Arial" w:cs="Arial"/>
        </w:rPr>
        <w:t>SCoC</w:t>
      </w:r>
      <w:proofErr w:type="spellEnd"/>
      <w:r w:rsidRPr="00CD0275">
        <w:rPr>
          <w:rFonts w:ascii="Arial" w:hAnsi="Arial" w:cs="Arial"/>
        </w:rPr>
        <w:t xml:space="preserve">, and there would not be </w:t>
      </w:r>
      <w:r w:rsidR="007858B4" w:rsidRPr="00CD0275">
        <w:rPr>
          <w:rFonts w:ascii="Arial" w:hAnsi="Arial" w:cs="Arial"/>
        </w:rPr>
        <w:t>any specific financial penalty</w:t>
      </w:r>
      <w:r w:rsidR="00CD0275" w:rsidRPr="00CD0275">
        <w:rPr>
          <w:rFonts w:ascii="Arial" w:hAnsi="Arial" w:cs="Arial"/>
        </w:rPr>
        <w:t xml:space="preserve"> for doing so.</w:t>
      </w:r>
      <w:r w:rsidRPr="00CD0275">
        <w:rPr>
          <w:rFonts w:ascii="Arial" w:hAnsi="Arial" w:cs="Arial"/>
        </w:rPr>
        <w:t xml:space="preserve"> This may be seen by some stakeholders as </w:t>
      </w:r>
      <w:r w:rsidR="007A425C" w:rsidRPr="00CD0275">
        <w:rPr>
          <w:rFonts w:ascii="Arial" w:hAnsi="Arial" w:cs="Arial"/>
        </w:rPr>
        <w:t>not providing sufficient incentive to improve compliance.</w:t>
      </w:r>
      <w:r w:rsidR="007A425C" w:rsidRPr="00D02D22">
        <w:rPr>
          <w:rFonts w:ascii="Arial" w:hAnsi="Arial" w:cs="Arial"/>
        </w:rPr>
        <w:t xml:space="preserve"> </w:t>
      </w:r>
    </w:p>
    <w:p w:rsidR="008323E2" w:rsidRPr="00690F06" w:rsidRDefault="008323E2" w:rsidP="008323E2">
      <w:pPr>
        <w:pStyle w:val="Heading2"/>
        <w:spacing w:after="240"/>
        <w:ind w:left="709" w:hanging="709"/>
        <w:rPr>
          <w:rFonts w:ascii="Arial" w:hAnsi="Arial" w:cs="Arial"/>
          <w:i w:val="0"/>
        </w:rPr>
      </w:pPr>
      <w:bookmarkStart w:id="94" w:name="_Toc412196636"/>
      <w:r w:rsidRPr="00690F06">
        <w:rPr>
          <w:rFonts w:ascii="Arial" w:hAnsi="Arial" w:cs="Arial"/>
        </w:rPr>
        <w:t>4.2</w:t>
      </w:r>
      <w:r w:rsidRPr="00690F06">
        <w:rPr>
          <w:rFonts w:ascii="Arial" w:hAnsi="Arial" w:cs="Arial"/>
        </w:rPr>
        <w:tab/>
      </w:r>
      <w:r w:rsidR="00636F5E" w:rsidRPr="00690F06">
        <w:rPr>
          <w:rFonts w:ascii="Arial" w:hAnsi="Arial" w:cs="Arial"/>
        </w:rPr>
        <w:t>Option</w:t>
      </w:r>
      <w:r w:rsidR="00636F5E">
        <w:rPr>
          <w:rFonts w:ascii="Arial" w:hAnsi="Arial" w:cs="Arial"/>
        </w:rPr>
        <w:t> </w:t>
      </w:r>
      <w:r w:rsidR="00FE24E8" w:rsidRPr="00690F06">
        <w:rPr>
          <w:rFonts w:ascii="Arial" w:hAnsi="Arial" w:cs="Arial"/>
        </w:rPr>
        <w:t xml:space="preserve">2: </w:t>
      </w:r>
      <w:r w:rsidR="006A5094">
        <w:rPr>
          <w:rFonts w:ascii="Arial" w:hAnsi="Arial" w:cs="Arial"/>
        </w:rPr>
        <w:t>Increased</w:t>
      </w:r>
      <w:r w:rsidR="00FE24E8">
        <w:rPr>
          <w:rFonts w:ascii="Arial" w:hAnsi="Arial" w:cs="Arial"/>
        </w:rPr>
        <w:t xml:space="preserve"> e</w:t>
      </w:r>
      <w:r w:rsidR="00FE24E8" w:rsidRPr="00690F06">
        <w:rPr>
          <w:rFonts w:ascii="Arial" w:hAnsi="Arial" w:cs="Arial"/>
        </w:rPr>
        <w:t>ducation</w:t>
      </w:r>
      <w:r w:rsidR="007858B4">
        <w:rPr>
          <w:rFonts w:ascii="Arial" w:hAnsi="Arial" w:cs="Arial"/>
        </w:rPr>
        <w:t xml:space="preserve"> and </w:t>
      </w:r>
      <w:r w:rsidR="0094634A">
        <w:rPr>
          <w:rFonts w:ascii="Arial" w:hAnsi="Arial" w:cs="Arial"/>
        </w:rPr>
        <w:t>on-going</w:t>
      </w:r>
      <w:r w:rsidR="00C34FE6">
        <w:rPr>
          <w:rFonts w:ascii="Arial" w:hAnsi="Arial" w:cs="Arial"/>
        </w:rPr>
        <w:t xml:space="preserve"> </w:t>
      </w:r>
      <w:r w:rsidR="00FE24E8" w:rsidRPr="00690F06">
        <w:rPr>
          <w:rFonts w:ascii="Arial" w:hAnsi="Arial" w:cs="Arial"/>
        </w:rPr>
        <w:t>ACCC surveys</w:t>
      </w:r>
      <w:bookmarkEnd w:id="94"/>
    </w:p>
    <w:p w:rsidR="00DB33EA" w:rsidRDefault="00DB33EA" w:rsidP="008323E2">
      <w:pPr>
        <w:spacing w:before="240" w:after="240"/>
        <w:rPr>
          <w:rFonts w:ascii="Arial" w:hAnsi="Arial" w:cs="Arial"/>
        </w:rPr>
      </w:pPr>
      <w:r>
        <w:rPr>
          <w:rFonts w:ascii="Arial" w:hAnsi="Arial" w:cs="Arial"/>
        </w:rPr>
        <w:t xml:space="preserve">Under </w:t>
      </w:r>
      <w:r w:rsidR="00636F5E">
        <w:rPr>
          <w:rFonts w:ascii="Arial" w:hAnsi="Arial" w:cs="Arial"/>
        </w:rPr>
        <w:t>option </w:t>
      </w:r>
      <w:r>
        <w:rPr>
          <w:rFonts w:ascii="Arial" w:hAnsi="Arial" w:cs="Arial"/>
        </w:rPr>
        <w:t xml:space="preserve">2, the ACCC would </w:t>
      </w:r>
      <w:r w:rsidR="00896767">
        <w:rPr>
          <w:rFonts w:ascii="Arial" w:hAnsi="Arial" w:cs="Arial"/>
        </w:rPr>
        <w:t xml:space="preserve">increase industry </w:t>
      </w:r>
      <w:r w:rsidR="00B04C91">
        <w:rPr>
          <w:rFonts w:ascii="Arial" w:hAnsi="Arial" w:cs="Arial"/>
        </w:rPr>
        <w:t xml:space="preserve">and consumer </w:t>
      </w:r>
      <w:r w:rsidR="00896767">
        <w:rPr>
          <w:rFonts w:ascii="Arial" w:hAnsi="Arial" w:cs="Arial"/>
        </w:rPr>
        <w:t>education</w:t>
      </w:r>
      <w:r w:rsidR="00B04C91">
        <w:rPr>
          <w:rFonts w:ascii="Arial" w:hAnsi="Arial" w:cs="Arial"/>
        </w:rPr>
        <w:t xml:space="preserve"> on the established </w:t>
      </w:r>
      <w:proofErr w:type="spellStart"/>
      <w:r w:rsidR="00831355">
        <w:rPr>
          <w:rFonts w:ascii="Arial" w:hAnsi="Arial" w:cs="Arial"/>
        </w:rPr>
        <w:t>SCoC</w:t>
      </w:r>
      <w:proofErr w:type="spellEnd"/>
      <w:r w:rsidR="00B04C91">
        <w:rPr>
          <w:rFonts w:ascii="Arial" w:hAnsi="Arial" w:cs="Arial"/>
        </w:rPr>
        <w:t>.</w:t>
      </w:r>
      <w:r w:rsidR="00896767">
        <w:rPr>
          <w:rFonts w:ascii="Arial" w:hAnsi="Arial" w:cs="Arial"/>
        </w:rPr>
        <w:t xml:space="preserve"> The ACCC would also conduct regular surveys of direct and prolonged contact articles.</w:t>
      </w:r>
    </w:p>
    <w:p w:rsidR="00B04C91" w:rsidRDefault="00B04C91" w:rsidP="008323E2">
      <w:pPr>
        <w:spacing w:before="240" w:after="240"/>
        <w:rPr>
          <w:rFonts w:ascii="Arial" w:hAnsi="Arial" w:cs="Arial"/>
        </w:rPr>
      </w:pPr>
      <w:r>
        <w:rPr>
          <w:rFonts w:ascii="Arial" w:hAnsi="Arial" w:cs="Arial"/>
        </w:rPr>
        <w:t>Industry education would increase awareness of suppliers</w:t>
      </w:r>
      <w:r w:rsidR="001313F8">
        <w:rPr>
          <w:rFonts w:ascii="Arial" w:hAnsi="Arial" w:cs="Arial"/>
        </w:rPr>
        <w:t>’</w:t>
      </w:r>
      <w:r>
        <w:rPr>
          <w:rFonts w:ascii="Arial" w:hAnsi="Arial" w:cs="Arial"/>
        </w:rPr>
        <w:t xml:space="preserve"> obligations under the general provisions of the ACL and ensure business is aware of the </w:t>
      </w:r>
      <w:proofErr w:type="spellStart"/>
      <w:r w:rsidR="00831355">
        <w:rPr>
          <w:rFonts w:ascii="Arial" w:hAnsi="Arial" w:cs="Arial"/>
        </w:rPr>
        <w:t>SCoC</w:t>
      </w:r>
      <w:proofErr w:type="spellEnd"/>
      <w:r>
        <w:rPr>
          <w:rFonts w:ascii="Arial" w:hAnsi="Arial" w:cs="Arial"/>
        </w:rPr>
        <w:t>.</w:t>
      </w:r>
      <w:r w:rsidR="00715918">
        <w:rPr>
          <w:rFonts w:ascii="Arial" w:hAnsi="Arial" w:cs="Arial"/>
        </w:rPr>
        <w:t xml:space="preserve"> Information could be provided to business</w:t>
      </w:r>
      <w:r w:rsidR="00114242">
        <w:rPr>
          <w:rFonts w:ascii="Arial" w:hAnsi="Arial" w:cs="Arial"/>
        </w:rPr>
        <w:t xml:space="preserve"> in </w:t>
      </w:r>
      <w:r w:rsidR="0094634A">
        <w:rPr>
          <w:rFonts w:ascii="Arial" w:hAnsi="Arial" w:cs="Arial"/>
        </w:rPr>
        <w:t>a variety of ways including</w:t>
      </w:r>
      <w:r w:rsidR="00114242">
        <w:rPr>
          <w:rFonts w:ascii="Arial" w:hAnsi="Arial" w:cs="Arial"/>
        </w:rPr>
        <w:t>:</w:t>
      </w:r>
    </w:p>
    <w:p w:rsidR="00114242" w:rsidRDefault="00114242" w:rsidP="00B7209D">
      <w:pPr>
        <w:numPr>
          <w:ilvl w:val="0"/>
          <w:numId w:val="46"/>
        </w:numPr>
        <w:spacing w:after="240"/>
        <w:ind w:left="567" w:hanging="567"/>
        <w:rPr>
          <w:rFonts w:ascii="Arial" w:hAnsi="Arial" w:cs="Arial"/>
        </w:rPr>
      </w:pPr>
      <w:r>
        <w:rPr>
          <w:rFonts w:ascii="Arial" w:hAnsi="Arial" w:cs="Arial"/>
        </w:rPr>
        <w:t>online via the P</w:t>
      </w:r>
      <w:r w:rsidR="00B8720B">
        <w:rPr>
          <w:rFonts w:ascii="Arial" w:hAnsi="Arial" w:cs="Arial"/>
        </w:rPr>
        <w:t>roduct Safety Australia website</w:t>
      </w:r>
    </w:p>
    <w:p w:rsidR="00114242" w:rsidRDefault="00114242" w:rsidP="00B7209D">
      <w:pPr>
        <w:numPr>
          <w:ilvl w:val="0"/>
          <w:numId w:val="46"/>
        </w:numPr>
        <w:spacing w:after="240"/>
        <w:ind w:left="567" w:hanging="567"/>
        <w:rPr>
          <w:rFonts w:ascii="Arial" w:hAnsi="Arial" w:cs="Arial"/>
        </w:rPr>
      </w:pPr>
      <w:r>
        <w:rPr>
          <w:rFonts w:ascii="Arial" w:hAnsi="Arial" w:cs="Arial"/>
        </w:rPr>
        <w:t xml:space="preserve">ACCC staff attending </w:t>
      </w:r>
      <w:r w:rsidR="0094634A">
        <w:rPr>
          <w:rFonts w:ascii="Arial" w:hAnsi="Arial" w:cs="Arial"/>
        </w:rPr>
        <w:t xml:space="preserve">and participating in </w:t>
      </w:r>
      <w:r w:rsidR="00B8720B">
        <w:rPr>
          <w:rFonts w:ascii="Arial" w:hAnsi="Arial" w:cs="Arial"/>
        </w:rPr>
        <w:t>industry forums</w:t>
      </w:r>
      <w:r>
        <w:rPr>
          <w:rFonts w:ascii="Arial" w:hAnsi="Arial" w:cs="Arial"/>
        </w:rPr>
        <w:t xml:space="preserve"> and</w:t>
      </w:r>
    </w:p>
    <w:p w:rsidR="00114242" w:rsidRDefault="00636F5E" w:rsidP="00B7209D">
      <w:pPr>
        <w:numPr>
          <w:ilvl w:val="0"/>
          <w:numId w:val="46"/>
        </w:numPr>
        <w:spacing w:after="240"/>
        <w:ind w:left="567" w:hanging="567"/>
        <w:rPr>
          <w:rFonts w:ascii="Arial" w:hAnsi="Arial" w:cs="Arial"/>
        </w:rPr>
      </w:pPr>
      <w:r>
        <w:rPr>
          <w:rFonts w:ascii="Arial" w:hAnsi="Arial" w:cs="Arial"/>
        </w:rPr>
        <w:t xml:space="preserve">proactive engagement </w:t>
      </w:r>
      <w:r w:rsidR="00B8720B">
        <w:rPr>
          <w:rFonts w:ascii="Arial" w:hAnsi="Arial" w:cs="Arial"/>
        </w:rPr>
        <w:t>with industry associations</w:t>
      </w:r>
    </w:p>
    <w:p w:rsidR="00B04C91" w:rsidRDefault="00B04C91" w:rsidP="00B04C91">
      <w:pPr>
        <w:spacing w:after="240"/>
        <w:rPr>
          <w:rFonts w:ascii="Arial" w:hAnsi="Arial" w:cs="Arial"/>
        </w:rPr>
      </w:pPr>
      <w:r w:rsidRPr="00690F06">
        <w:rPr>
          <w:rFonts w:ascii="Arial" w:hAnsi="Arial" w:cs="Arial"/>
        </w:rPr>
        <w:t xml:space="preserve">This option would also </w:t>
      </w:r>
      <w:r w:rsidR="00636F5E">
        <w:rPr>
          <w:rFonts w:ascii="Arial" w:hAnsi="Arial" w:cs="Arial"/>
        </w:rPr>
        <w:t>involve</w:t>
      </w:r>
      <w:r w:rsidR="00636F5E" w:rsidRPr="00690F06">
        <w:rPr>
          <w:rFonts w:ascii="Arial" w:hAnsi="Arial" w:cs="Arial"/>
        </w:rPr>
        <w:t xml:space="preserve"> </w:t>
      </w:r>
      <w:r w:rsidRPr="00690F06">
        <w:rPr>
          <w:rFonts w:ascii="Arial" w:hAnsi="Arial" w:cs="Arial"/>
        </w:rPr>
        <w:t>the ACCC conducting further surveys of direct and prolonged contact articles.</w:t>
      </w:r>
      <w:r w:rsidR="00114242">
        <w:rPr>
          <w:rFonts w:ascii="Arial" w:hAnsi="Arial" w:cs="Arial"/>
        </w:rPr>
        <w:t xml:space="preserve"> Articles could be purchased and sent to an accredited test lab</w:t>
      </w:r>
      <w:r w:rsidR="001313F8">
        <w:rPr>
          <w:rFonts w:ascii="Arial" w:hAnsi="Arial" w:cs="Arial"/>
        </w:rPr>
        <w:t>oratory</w:t>
      </w:r>
      <w:r w:rsidR="00114242">
        <w:rPr>
          <w:rFonts w:ascii="Arial" w:hAnsi="Arial" w:cs="Arial"/>
        </w:rPr>
        <w:t xml:space="preserve"> for </w:t>
      </w:r>
      <w:r w:rsidR="00114242">
        <w:rPr>
          <w:rFonts w:ascii="Arial" w:hAnsi="Arial" w:cs="Arial"/>
        </w:rPr>
        <w:lastRenderedPageBreak/>
        <w:t xml:space="preserve">testing against the </w:t>
      </w:r>
      <w:proofErr w:type="spellStart"/>
      <w:r w:rsidR="00831355">
        <w:rPr>
          <w:rFonts w:ascii="Arial" w:hAnsi="Arial" w:cs="Arial"/>
        </w:rPr>
        <w:t>SCoC</w:t>
      </w:r>
      <w:proofErr w:type="spellEnd"/>
      <w:r w:rsidR="00114242">
        <w:rPr>
          <w:rFonts w:ascii="Arial" w:hAnsi="Arial" w:cs="Arial"/>
        </w:rPr>
        <w:t>.</w:t>
      </w:r>
      <w:r w:rsidRPr="00690F06">
        <w:rPr>
          <w:rFonts w:ascii="Arial" w:hAnsi="Arial" w:cs="Arial"/>
        </w:rPr>
        <w:t xml:space="preserve"> If unacceptably high concentrations of hazardous aromatic amines </w:t>
      </w:r>
      <w:r w:rsidR="00636F5E">
        <w:rPr>
          <w:rFonts w:ascii="Arial" w:hAnsi="Arial" w:cs="Arial"/>
        </w:rPr>
        <w:t>are</w:t>
      </w:r>
      <w:r w:rsidRPr="00690F06">
        <w:rPr>
          <w:rFonts w:ascii="Arial" w:hAnsi="Arial" w:cs="Arial"/>
        </w:rPr>
        <w:t xml:space="preserve"> detected, the ACCC </w:t>
      </w:r>
      <w:r w:rsidR="00922714">
        <w:rPr>
          <w:rFonts w:ascii="Arial" w:hAnsi="Arial" w:cs="Arial"/>
        </w:rPr>
        <w:t>would</w:t>
      </w:r>
      <w:r w:rsidRPr="00690F06">
        <w:rPr>
          <w:rFonts w:ascii="Arial" w:hAnsi="Arial" w:cs="Arial"/>
        </w:rPr>
        <w:t xml:space="preserve"> act to remove unsafe goods from supply</w:t>
      </w:r>
      <w:r w:rsidR="00114242">
        <w:rPr>
          <w:rFonts w:ascii="Arial" w:hAnsi="Arial" w:cs="Arial"/>
        </w:rPr>
        <w:t>.</w:t>
      </w:r>
      <w:r w:rsidRPr="00690F06">
        <w:rPr>
          <w:rFonts w:ascii="Arial" w:hAnsi="Arial" w:cs="Arial"/>
        </w:rPr>
        <w:t xml:space="preserve"> </w:t>
      </w:r>
    </w:p>
    <w:p w:rsidR="008323E2" w:rsidRPr="00690F06" w:rsidRDefault="008323E2" w:rsidP="008323E2">
      <w:pPr>
        <w:pStyle w:val="Heading2"/>
        <w:rPr>
          <w:rFonts w:ascii="Arial" w:hAnsi="Arial" w:cs="Arial"/>
          <w:i w:val="0"/>
        </w:rPr>
      </w:pPr>
      <w:bookmarkStart w:id="95" w:name="_Toc412196637"/>
      <w:r w:rsidRPr="00690F06">
        <w:rPr>
          <w:rFonts w:ascii="Arial" w:hAnsi="Arial" w:cs="Arial"/>
        </w:rPr>
        <w:t>4.3</w:t>
      </w:r>
      <w:r w:rsidRPr="00690F06">
        <w:rPr>
          <w:rFonts w:ascii="Arial" w:hAnsi="Arial" w:cs="Arial"/>
        </w:rPr>
        <w:tab/>
      </w:r>
      <w:r w:rsidR="00636F5E" w:rsidRPr="00690F06">
        <w:rPr>
          <w:rFonts w:ascii="Arial" w:hAnsi="Arial" w:cs="Arial"/>
        </w:rPr>
        <w:t>Option</w:t>
      </w:r>
      <w:r w:rsidR="00636F5E">
        <w:rPr>
          <w:rFonts w:ascii="Arial" w:hAnsi="Arial" w:cs="Arial"/>
        </w:rPr>
        <w:t> </w:t>
      </w:r>
      <w:r w:rsidRPr="00690F06">
        <w:rPr>
          <w:rFonts w:ascii="Arial" w:hAnsi="Arial" w:cs="Arial"/>
        </w:rPr>
        <w:t>3:</w:t>
      </w:r>
      <w:r>
        <w:rPr>
          <w:rFonts w:ascii="Arial" w:hAnsi="Arial" w:cs="Arial"/>
        </w:rPr>
        <w:t xml:space="preserve"> R</w:t>
      </w:r>
      <w:r w:rsidRPr="00690F06">
        <w:rPr>
          <w:rFonts w:ascii="Arial" w:hAnsi="Arial" w:cs="Arial"/>
        </w:rPr>
        <w:t xml:space="preserve">egulation </w:t>
      </w:r>
      <w:r w:rsidR="00D15C44">
        <w:rPr>
          <w:rFonts w:ascii="Arial" w:hAnsi="Arial" w:cs="Arial"/>
        </w:rPr>
        <w:t xml:space="preserve">via </w:t>
      </w:r>
      <w:r w:rsidRPr="00690F06">
        <w:rPr>
          <w:rFonts w:ascii="Arial" w:hAnsi="Arial" w:cs="Arial"/>
        </w:rPr>
        <w:t>a mandatory safety standard or permanent ban</w:t>
      </w:r>
      <w:bookmarkEnd w:id="95"/>
    </w:p>
    <w:p w:rsidR="008323E2" w:rsidRPr="00690F06" w:rsidRDefault="008323E2" w:rsidP="008323E2">
      <w:pPr>
        <w:spacing w:before="240" w:after="240"/>
        <w:rPr>
          <w:rFonts w:ascii="Arial" w:hAnsi="Arial" w:cs="Arial"/>
        </w:rPr>
      </w:pPr>
      <w:r w:rsidRPr="00690F06">
        <w:rPr>
          <w:rFonts w:ascii="Arial" w:hAnsi="Arial" w:cs="Arial"/>
        </w:rPr>
        <w:t xml:space="preserve">The ACL </w:t>
      </w:r>
      <w:r w:rsidR="007858B4">
        <w:rPr>
          <w:rFonts w:ascii="Arial" w:hAnsi="Arial" w:cs="Arial"/>
        </w:rPr>
        <w:t>allows</w:t>
      </w:r>
      <w:r w:rsidRPr="00690F06">
        <w:rPr>
          <w:rFonts w:ascii="Arial" w:hAnsi="Arial" w:cs="Arial"/>
        </w:rPr>
        <w:t xml:space="preserve"> the Commonwealth Minister to make a mandatory safety standard, or impose a permanent ban, on certain consumer goods. Safety standards and permanent bans are legislative instruments and enforceable under the provisions of the ACL. All such legislative instruments are centrally recorded on the</w:t>
      </w:r>
      <w:r w:rsidRPr="00690F06">
        <w:rPr>
          <w:rFonts w:ascii="Arial" w:hAnsi="Arial" w:cs="Arial"/>
          <w:lang w:eastAsia="en-AU"/>
        </w:rPr>
        <w:t xml:space="preserve"> </w:t>
      </w:r>
      <w:r w:rsidRPr="00690F06">
        <w:rPr>
          <w:rFonts w:ascii="Arial" w:hAnsi="Arial" w:cs="Arial"/>
          <w:color w:val="000000"/>
          <w:lang w:eastAsia="en-AU"/>
        </w:rPr>
        <w:t xml:space="preserve">Federal Register of Legislative Instruments (FRLI), and would be accessible to suppliers and their legal advisers. FRLI is </w:t>
      </w:r>
      <w:r w:rsidR="00636F5E">
        <w:rPr>
          <w:rFonts w:ascii="Arial" w:hAnsi="Arial" w:cs="Arial"/>
          <w:color w:val="000000"/>
          <w:lang w:eastAsia="en-AU"/>
        </w:rPr>
        <w:t xml:space="preserve">also </w:t>
      </w:r>
      <w:r w:rsidRPr="00690F06">
        <w:rPr>
          <w:rFonts w:ascii="Arial" w:hAnsi="Arial" w:cs="Arial"/>
          <w:color w:val="000000"/>
          <w:lang w:eastAsia="en-AU"/>
        </w:rPr>
        <w:t>an obvious point of reference for overseas suppliers.</w:t>
      </w:r>
    </w:p>
    <w:p w:rsidR="008323E2" w:rsidRPr="007858B4" w:rsidRDefault="0094634A" w:rsidP="00594E2C">
      <w:pPr>
        <w:spacing w:before="240" w:after="240"/>
        <w:rPr>
          <w:rFonts w:ascii="Arial" w:hAnsi="Arial" w:cs="Arial"/>
          <w:highlight w:val="yellow"/>
        </w:rPr>
      </w:pPr>
      <w:r>
        <w:rPr>
          <w:rFonts w:ascii="Arial" w:hAnsi="Arial" w:cs="Arial"/>
        </w:rPr>
        <w:t>Regulation would</w:t>
      </w:r>
      <w:r w:rsidR="008323E2" w:rsidRPr="00690F06">
        <w:rPr>
          <w:rFonts w:ascii="Arial" w:hAnsi="Arial" w:cs="Arial"/>
        </w:rPr>
        <w:t xml:space="preserve"> specify limit</w:t>
      </w:r>
      <w:r>
        <w:rPr>
          <w:rFonts w:ascii="Arial" w:hAnsi="Arial" w:cs="Arial"/>
        </w:rPr>
        <w:t>s</w:t>
      </w:r>
      <w:r w:rsidR="008323E2" w:rsidRPr="00690F06">
        <w:rPr>
          <w:rFonts w:ascii="Arial" w:hAnsi="Arial" w:cs="Arial"/>
        </w:rPr>
        <w:t xml:space="preserve"> for certain aromatic amines in direct and prolonged contact articles</w:t>
      </w:r>
      <w:r>
        <w:rPr>
          <w:rFonts w:ascii="Arial" w:hAnsi="Arial" w:cs="Arial"/>
        </w:rPr>
        <w:t xml:space="preserve"> and compliance with that limit would be mandatory. </w:t>
      </w:r>
      <w:r w:rsidR="002111F8">
        <w:rPr>
          <w:rFonts w:ascii="Arial" w:hAnsi="Arial" w:cs="Arial"/>
        </w:rPr>
        <w:t xml:space="preserve">It </w:t>
      </w:r>
      <w:r w:rsidR="008323E2" w:rsidRPr="00690F06">
        <w:rPr>
          <w:rFonts w:ascii="Arial" w:hAnsi="Arial" w:cs="Arial"/>
        </w:rPr>
        <w:t xml:space="preserve">would be based on the best available scientific evidence cited by relevant expert authorities. As any regulation is likely to be constructed to permit supply if goods are within an acceptable level, a safety standard may be more appropriate than a permanent ban. </w:t>
      </w:r>
    </w:p>
    <w:p w:rsidR="008323E2" w:rsidRPr="00594E2C" w:rsidRDefault="008323E2" w:rsidP="008323E2">
      <w:pPr>
        <w:spacing w:after="240"/>
        <w:rPr>
          <w:rFonts w:ascii="Arial" w:hAnsi="Arial" w:cs="Arial"/>
        </w:rPr>
      </w:pPr>
      <w:r w:rsidRPr="00594E2C">
        <w:rPr>
          <w:rFonts w:ascii="Arial" w:hAnsi="Arial" w:cs="Arial"/>
        </w:rPr>
        <w:t>If this option were pursued, any regulation would likely be structured to effectively require adherence to the key elements of the EU standard and testing methodology. This element of overseas equivalence should both provide additional consumer protection and enhance supply options as it does not impose unique Australian requirements and the testing capability is already established. Whil</w:t>
      </w:r>
      <w:r w:rsidR="00E32B6F" w:rsidRPr="00594E2C">
        <w:rPr>
          <w:rFonts w:ascii="Arial" w:hAnsi="Arial" w:cs="Arial"/>
        </w:rPr>
        <w:t>e</w:t>
      </w:r>
      <w:r w:rsidRPr="00594E2C">
        <w:rPr>
          <w:rFonts w:ascii="Arial" w:hAnsi="Arial" w:cs="Arial"/>
        </w:rPr>
        <w:t xml:space="preserve"> test houses in Australia are not currently accredited to test to the EU requirements, there is suitable availability overseas and there is no barrier to Australian test </w:t>
      </w:r>
      <w:r w:rsidR="00BE2A4A">
        <w:rPr>
          <w:rFonts w:ascii="Arial" w:hAnsi="Arial" w:cs="Arial"/>
        </w:rPr>
        <w:t>laboratories</w:t>
      </w:r>
      <w:r w:rsidRPr="00594E2C">
        <w:rPr>
          <w:rFonts w:ascii="Arial" w:hAnsi="Arial" w:cs="Arial"/>
        </w:rPr>
        <w:t xml:space="preserve"> becoming accredited if a market for those services develop</w:t>
      </w:r>
      <w:r w:rsidR="000A452C" w:rsidRPr="00594E2C">
        <w:rPr>
          <w:rFonts w:ascii="Arial" w:hAnsi="Arial" w:cs="Arial"/>
        </w:rPr>
        <w:t>s</w:t>
      </w:r>
      <w:r w:rsidRPr="00594E2C">
        <w:rPr>
          <w:rFonts w:ascii="Arial" w:hAnsi="Arial" w:cs="Arial"/>
        </w:rPr>
        <w:t>.</w:t>
      </w:r>
    </w:p>
    <w:p w:rsidR="008323E2" w:rsidRDefault="008323E2" w:rsidP="008323E2">
      <w:pPr>
        <w:spacing w:after="240"/>
        <w:rPr>
          <w:rFonts w:ascii="Arial" w:hAnsi="Arial" w:cs="Arial"/>
        </w:rPr>
      </w:pPr>
      <w:r w:rsidRPr="00594E2C">
        <w:rPr>
          <w:rFonts w:ascii="Arial" w:hAnsi="Arial" w:cs="Arial"/>
        </w:rPr>
        <w:t xml:space="preserve">Any regulation under the ACL </w:t>
      </w:r>
      <w:r w:rsidR="000A452C" w:rsidRPr="00594E2C">
        <w:rPr>
          <w:rFonts w:ascii="Arial" w:hAnsi="Arial" w:cs="Arial"/>
        </w:rPr>
        <w:t xml:space="preserve">would </w:t>
      </w:r>
      <w:r w:rsidRPr="00594E2C">
        <w:rPr>
          <w:rFonts w:ascii="Arial" w:hAnsi="Arial" w:cs="Arial"/>
        </w:rPr>
        <w:t xml:space="preserve">be enforced by the ACCC and state and territory fair trading agencies. There are already a number of mandatory standards and bans in place that the ACCC and other regulators actively enforce by surveying retail outlets and websites, conducting testing, responding to complaints and by acting promptly against offending suppliers. </w:t>
      </w:r>
    </w:p>
    <w:p w:rsidR="001E761D" w:rsidRDefault="001E761D" w:rsidP="008323E2">
      <w:pPr>
        <w:spacing w:after="240"/>
        <w:rPr>
          <w:rFonts w:ascii="Arial" w:hAnsi="Arial" w:cs="Arial"/>
        </w:rPr>
      </w:pPr>
      <w:r>
        <w:rPr>
          <w:rFonts w:ascii="Arial" w:hAnsi="Arial" w:cs="Arial"/>
        </w:rPr>
        <w:t xml:space="preserve">Under the ACL, the onus is on suppliers to ensure they supply safe products whether specific regulation has been developed or not. Where a mandatory standard is in force, there is no requirement for suppliers to routinely demonstrate to the ACCC or state and territory fair trading agencies that their goods comply with that standard. </w:t>
      </w:r>
      <w:r w:rsidR="001E7691">
        <w:rPr>
          <w:rFonts w:ascii="Arial" w:hAnsi="Arial" w:cs="Arial"/>
        </w:rPr>
        <w:t>Prudent</w:t>
      </w:r>
      <w:r>
        <w:rPr>
          <w:rFonts w:ascii="Arial" w:hAnsi="Arial" w:cs="Arial"/>
        </w:rPr>
        <w:t xml:space="preserve"> suppliers maintain good records which demonstrate the effort taken to comply with a mandatory standard</w:t>
      </w:r>
      <w:r w:rsidR="001E7691">
        <w:rPr>
          <w:rFonts w:ascii="Arial" w:hAnsi="Arial" w:cs="Arial"/>
        </w:rPr>
        <w:t xml:space="preserve"> and the general provisions of the ACL</w:t>
      </w:r>
      <w:r>
        <w:rPr>
          <w:rFonts w:ascii="Arial" w:hAnsi="Arial" w:cs="Arial"/>
        </w:rPr>
        <w:t xml:space="preserve">. Where a regulator identifies goods </w:t>
      </w:r>
      <w:r w:rsidR="00FD35EF">
        <w:rPr>
          <w:rFonts w:ascii="Arial" w:hAnsi="Arial" w:cs="Arial"/>
        </w:rPr>
        <w:t>that</w:t>
      </w:r>
      <w:r>
        <w:rPr>
          <w:rFonts w:ascii="Arial" w:hAnsi="Arial" w:cs="Arial"/>
        </w:rPr>
        <w:t xml:space="preserve"> do not comply with regulation, the supplier of those goods </w:t>
      </w:r>
      <w:r w:rsidR="0057508E">
        <w:rPr>
          <w:rFonts w:ascii="Arial" w:hAnsi="Arial" w:cs="Arial"/>
        </w:rPr>
        <w:t>is generally asked</w:t>
      </w:r>
      <w:r>
        <w:rPr>
          <w:rFonts w:ascii="Arial" w:hAnsi="Arial" w:cs="Arial"/>
        </w:rPr>
        <w:t xml:space="preserve"> to provide documents </w:t>
      </w:r>
      <w:r w:rsidR="00FD35EF">
        <w:rPr>
          <w:rFonts w:ascii="Arial" w:hAnsi="Arial" w:cs="Arial"/>
        </w:rPr>
        <w:t>that</w:t>
      </w:r>
      <w:r w:rsidR="0057508E">
        <w:rPr>
          <w:rFonts w:ascii="Arial" w:hAnsi="Arial" w:cs="Arial"/>
        </w:rPr>
        <w:t xml:space="preserve"> they have relied upon to satisfy themselves that their goods comply with regulation.</w:t>
      </w:r>
      <w:r>
        <w:rPr>
          <w:rFonts w:ascii="Arial" w:hAnsi="Arial" w:cs="Arial"/>
        </w:rPr>
        <w:t xml:space="preserve"> </w:t>
      </w:r>
    </w:p>
    <w:p w:rsidR="002111F8" w:rsidRPr="00594E2C" w:rsidRDefault="0057508E" w:rsidP="002111F8">
      <w:pPr>
        <w:spacing w:after="240"/>
        <w:rPr>
          <w:rFonts w:ascii="Arial" w:hAnsi="Arial" w:cs="Arial"/>
        </w:rPr>
      </w:pPr>
      <w:r>
        <w:rPr>
          <w:rFonts w:ascii="Arial" w:hAnsi="Arial" w:cs="Arial"/>
        </w:rPr>
        <w:t xml:space="preserve">The most efficient way to manage compliance with regulation is likely to ensure good quality control processes are developed and maintained. </w:t>
      </w:r>
      <w:r w:rsidR="001E7691">
        <w:rPr>
          <w:rFonts w:ascii="Arial" w:hAnsi="Arial" w:cs="Arial"/>
        </w:rPr>
        <w:t>S</w:t>
      </w:r>
      <w:r>
        <w:rPr>
          <w:rFonts w:ascii="Arial" w:hAnsi="Arial" w:cs="Arial"/>
        </w:rPr>
        <w:t xml:space="preserve">uppliers </w:t>
      </w:r>
      <w:r w:rsidR="001E7691">
        <w:rPr>
          <w:rFonts w:ascii="Arial" w:hAnsi="Arial" w:cs="Arial"/>
        </w:rPr>
        <w:t>can</w:t>
      </w:r>
      <w:r>
        <w:rPr>
          <w:rFonts w:ascii="Arial" w:hAnsi="Arial" w:cs="Arial"/>
        </w:rPr>
        <w:t xml:space="preserve"> monitor the effectiveness of these processes by testing some finished goods.</w:t>
      </w:r>
      <w:r w:rsidR="008049DE">
        <w:rPr>
          <w:rFonts w:ascii="Arial" w:hAnsi="Arial" w:cs="Arial"/>
        </w:rPr>
        <w:t xml:space="preserve"> The scope of testing across each supplier’s product range and the test frequency will depend on each </w:t>
      </w:r>
      <w:r w:rsidR="00FA1B8E">
        <w:rPr>
          <w:rFonts w:ascii="Arial" w:hAnsi="Arial" w:cs="Arial"/>
        </w:rPr>
        <w:t>supplier’s</w:t>
      </w:r>
      <w:r w:rsidR="008049DE">
        <w:rPr>
          <w:rFonts w:ascii="Arial" w:hAnsi="Arial" w:cs="Arial"/>
        </w:rPr>
        <w:t xml:space="preserve"> confidence in their quality control processes. Estimates for these costs have been included under section 5</w:t>
      </w:r>
      <w:r w:rsidR="00287DB0">
        <w:rPr>
          <w:rFonts w:ascii="Arial" w:hAnsi="Arial" w:cs="Arial"/>
        </w:rPr>
        <w:t xml:space="preserve"> and relevant attachments</w:t>
      </w:r>
      <w:r w:rsidR="008049DE">
        <w:rPr>
          <w:rFonts w:ascii="Arial" w:hAnsi="Arial" w:cs="Arial"/>
        </w:rPr>
        <w:t>.</w:t>
      </w:r>
      <w:r w:rsidR="00973FE6">
        <w:rPr>
          <w:rFonts w:ascii="Arial" w:hAnsi="Arial" w:cs="Arial"/>
        </w:rPr>
        <w:t xml:space="preserve"> </w:t>
      </w:r>
      <w:r w:rsidR="002111F8" w:rsidRPr="00594E2C">
        <w:rPr>
          <w:rFonts w:ascii="Arial" w:hAnsi="Arial" w:cs="Arial"/>
        </w:rPr>
        <w:t xml:space="preserve">While the ACCC is committed to enforcing the ACL and mandatory product safety regulations for products supplied in Australia, the ACCC exercises its discretion to direct resources to the investigation and resolution of matters that provide the greatest overall benefit for competition and consumers. Use of this discretion is set out in the </w:t>
      </w:r>
      <w:r w:rsidR="002111F8" w:rsidRPr="00594E2C">
        <w:rPr>
          <w:rFonts w:ascii="Arial" w:hAnsi="Arial" w:cs="Arial"/>
        </w:rPr>
        <w:lastRenderedPageBreak/>
        <w:t>ACCC’s Compliance and Enforcement Policy.</w:t>
      </w:r>
      <w:r w:rsidR="00565345">
        <w:rPr>
          <w:rStyle w:val="FootnoteReference"/>
          <w:rFonts w:ascii="Arial" w:hAnsi="Arial" w:cs="Arial"/>
        </w:rPr>
        <w:footnoteReference w:id="45"/>
      </w:r>
      <w:r w:rsidR="002111F8" w:rsidRPr="00594E2C">
        <w:rPr>
          <w:rFonts w:ascii="Arial" w:hAnsi="Arial" w:cs="Arial"/>
        </w:rPr>
        <w:t xml:space="preserve"> Where companies have strong compliance cultures </w:t>
      </w:r>
      <w:r w:rsidR="002111F8" w:rsidRPr="00CD0275">
        <w:rPr>
          <w:rFonts w:ascii="Arial" w:hAnsi="Arial" w:cs="Arial"/>
        </w:rPr>
        <w:t>and good supporting systems in place, and/or strong stewardship processes exist, the ACCC is unlikely to pursue matters that are isolated events.</w:t>
      </w:r>
      <w:r w:rsidR="002111F8" w:rsidRPr="00594E2C">
        <w:rPr>
          <w:rStyle w:val="FootnoteReference"/>
          <w:rFonts w:ascii="Arial" w:hAnsi="Arial" w:cs="Arial"/>
        </w:rPr>
        <w:footnoteReference w:id="46"/>
      </w:r>
    </w:p>
    <w:p w:rsidR="001266C9" w:rsidRDefault="008323E2" w:rsidP="008323E2">
      <w:pPr>
        <w:spacing w:after="240"/>
        <w:rPr>
          <w:rFonts w:ascii="Arial" w:hAnsi="Arial" w:cs="Arial"/>
        </w:rPr>
      </w:pPr>
      <w:r w:rsidRPr="00594E2C">
        <w:rPr>
          <w:rFonts w:ascii="Arial" w:hAnsi="Arial" w:cs="Arial"/>
        </w:rPr>
        <w:t xml:space="preserve">All businesses supplying products to Australian consumers </w:t>
      </w:r>
      <w:r w:rsidR="00594E2C" w:rsidRPr="00594E2C">
        <w:rPr>
          <w:rFonts w:ascii="Arial" w:hAnsi="Arial" w:cs="Arial"/>
        </w:rPr>
        <w:t xml:space="preserve">already </w:t>
      </w:r>
      <w:r w:rsidRPr="00594E2C">
        <w:rPr>
          <w:rFonts w:ascii="Arial" w:hAnsi="Arial" w:cs="Arial"/>
        </w:rPr>
        <w:t>have obligations to supply safe products and comply with the ACL. This includes domestic companies, online suppliers and businesses outside Australia that supply products to Australian retailers for resupply.</w:t>
      </w:r>
      <w:r w:rsidR="00753A2E">
        <w:rPr>
          <w:rFonts w:ascii="Arial" w:hAnsi="Arial" w:cs="Arial"/>
        </w:rPr>
        <w:t xml:space="preserve"> With consumers increasingly turning to online </w:t>
      </w:r>
      <w:r w:rsidR="00975CF6">
        <w:rPr>
          <w:rFonts w:ascii="Arial" w:hAnsi="Arial" w:cs="Arial"/>
        </w:rPr>
        <w:t xml:space="preserve">sales </w:t>
      </w:r>
      <w:r w:rsidR="00753A2E">
        <w:rPr>
          <w:rFonts w:ascii="Arial" w:hAnsi="Arial" w:cs="Arial"/>
        </w:rPr>
        <w:t xml:space="preserve">platforms </w:t>
      </w:r>
      <w:r w:rsidR="00975CF6">
        <w:rPr>
          <w:rFonts w:ascii="Arial" w:hAnsi="Arial" w:cs="Arial"/>
        </w:rPr>
        <w:t xml:space="preserve">in </w:t>
      </w:r>
      <w:r w:rsidR="00753A2E">
        <w:rPr>
          <w:rFonts w:ascii="Arial" w:hAnsi="Arial" w:cs="Arial"/>
        </w:rPr>
        <w:t xml:space="preserve">both Australia and overseas, the enforcement of regulation is more challenging. As discussed in section 3, the ACCC takes several approaches to promoting compliance with the </w:t>
      </w:r>
      <w:r w:rsidR="00753A2E" w:rsidRPr="00CD0275">
        <w:rPr>
          <w:rFonts w:ascii="Arial" w:hAnsi="Arial" w:cs="Arial"/>
        </w:rPr>
        <w:t>ACL and specific regulation. Despite these strategies</w:t>
      </w:r>
      <w:r w:rsidR="00287DB0" w:rsidRPr="00CD0275">
        <w:rPr>
          <w:rFonts w:ascii="Arial" w:hAnsi="Arial" w:cs="Arial"/>
        </w:rPr>
        <w:t>,</w:t>
      </w:r>
      <w:r w:rsidR="00753A2E" w:rsidRPr="00CD0275">
        <w:rPr>
          <w:rFonts w:ascii="Arial" w:hAnsi="Arial" w:cs="Arial"/>
        </w:rPr>
        <w:t xml:space="preserve"> the effectiveness of regulation </w:t>
      </w:r>
      <w:r w:rsidR="00383005">
        <w:rPr>
          <w:rFonts w:ascii="Arial" w:hAnsi="Arial" w:cs="Arial"/>
        </w:rPr>
        <w:t>for</w:t>
      </w:r>
      <w:r w:rsidR="00753A2E" w:rsidRPr="00CD0275">
        <w:rPr>
          <w:rFonts w:ascii="Arial" w:hAnsi="Arial" w:cs="Arial"/>
        </w:rPr>
        <w:t xml:space="preserve"> online </w:t>
      </w:r>
      <w:r w:rsidR="00383005">
        <w:rPr>
          <w:rFonts w:ascii="Arial" w:hAnsi="Arial" w:cs="Arial"/>
        </w:rPr>
        <w:t>suppliers</w:t>
      </w:r>
      <w:r w:rsidR="00753A2E" w:rsidRPr="00CD0275">
        <w:rPr>
          <w:rFonts w:ascii="Arial" w:hAnsi="Arial" w:cs="Arial"/>
        </w:rPr>
        <w:t xml:space="preserve"> may</w:t>
      </w:r>
      <w:r w:rsidR="00753A2E">
        <w:rPr>
          <w:rFonts w:ascii="Arial" w:hAnsi="Arial" w:cs="Arial"/>
        </w:rPr>
        <w:t xml:space="preserve"> be less than for </w:t>
      </w:r>
      <w:r w:rsidR="00287DB0">
        <w:rPr>
          <w:rFonts w:ascii="Arial" w:hAnsi="Arial" w:cs="Arial"/>
        </w:rPr>
        <w:t>p</w:t>
      </w:r>
      <w:r w:rsidR="00753A2E">
        <w:rPr>
          <w:rFonts w:ascii="Arial" w:hAnsi="Arial" w:cs="Arial"/>
        </w:rPr>
        <w:t xml:space="preserve">roducts supplied via traditional </w:t>
      </w:r>
      <w:r w:rsidR="00287DB0">
        <w:rPr>
          <w:rFonts w:ascii="Arial" w:hAnsi="Arial" w:cs="Arial"/>
        </w:rPr>
        <w:t>‘</w:t>
      </w:r>
      <w:r w:rsidR="00753A2E">
        <w:rPr>
          <w:rFonts w:ascii="Arial" w:hAnsi="Arial" w:cs="Arial"/>
        </w:rPr>
        <w:t>bricks and mortar</w:t>
      </w:r>
      <w:r w:rsidR="00287DB0">
        <w:rPr>
          <w:rFonts w:ascii="Arial" w:hAnsi="Arial" w:cs="Arial"/>
        </w:rPr>
        <w:t>’</w:t>
      </w:r>
      <w:r w:rsidR="00753A2E">
        <w:rPr>
          <w:rFonts w:ascii="Arial" w:hAnsi="Arial" w:cs="Arial"/>
        </w:rPr>
        <w:t xml:space="preserve"> businesses.</w:t>
      </w:r>
      <w:r w:rsidR="00383005">
        <w:rPr>
          <w:rFonts w:ascii="Arial" w:hAnsi="Arial" w:cs="Arial"/>
        </w:rPr>
        <w:t xml:space="preserve"> Whilst t</w:t>
      </w:r>
      <w:r w:rsidR="001266C9">
        <w:rPr>
          <w:rFonts w:ascii="Arial" w:hAnsi="Arial" w:cs="Arial"/>
        </w:rPr>
        <w:t>he extent to which it may be less effective</w:t>
      </w:r>
      <w:r w:rsidR="00287DB0">
        <w:rPr>
          <w:rFonts w:ascii="Arial" w:hAnsi="Arial" w:cs="Arial"/>
        </w:rPr>
        <w:t xml:space="preserve"> </w:t>
      </w:r>
      <w:r w:rsidR="00383005">
        <w:rPr>
          <w:rFonts w:ascii="Arial" w:hAnsi="Arial" w:cs="Arial"/>
        </w:rPr>
        <w:t>is not certain, there is nothing to suggest it would be significantly different to other categories of</w:t>
      </w:r>
      <w:r w:rsidR="00287DB0">
        <w:rPr>
          <w:rFonts w:ascii="Arial" w:hAnsi="Arial" w:cs="Arial"/>
        </w:rPr>
        <w:t xml:space="preserve"> consumer goods </w:t>
      </w:r>
      <w:r w:rsidR="00383005">
        <w:rPr>
          <w:rFonts w:ascii="Arial" w:hAnsi="Arial" w:cs="Arial"/>
        </w:rPr>
        <w:t xml:space="preserve">specifically </w:t>
      </w:r>
      <w:r w:rsidR="00287DB0">
        <w:rPr>
          <w:rFonts w:ascii="Arial" w:hAnsi="Arial" w:cs="Arial"/>
        </w:rPr>
        <w:t>regulated by the ACCC.</w:t>
      </w:r>
    </w:p>
    <w:p w:rsidR="008323E2" w:rsidRDefault="002111F8" w:rsidP="008323E2">
      <w:pPr>
        <w:spacing w:after="240"/>
        <w:rPr>
          <w:rFonts w:ascii="Arial" w:hAnsi="Arial" w:cs="Arial"/>
          <w:color w:val="000000"/>
        </w:rPr>
      </w:pPr>
      <w:r>
        <w:rPr>
          <w:rFonts w:ascii="Arial" w:hAnsi="Arial" w:cs="Arial"/>
        </w:rPr>
        <w:t xml:space="preserve">Regulation combined with the general provisions of the </w:t>
      </w:r>
      <w:r w:rsidR="008323E2" w:rsidRPr="00594E2C">
        <w:rPr>
          <w:rFonts w:ascii="Arial" w:hAnsi="Arial" w:cs="Arial"/>
        </w:rPr>
        <w:t>ACL should maximise the incentive to source fully compliant goods. Generally speaking, i</w:t>
      </w:r>
      <w:r w:rsidR="008323E2" w:rsidRPr="00594E2C">
        <w:rPr>
          <w:rFonts w:ascii="Arial" w:hAnsi="Arial" w:cs="Arial"/>
          <w:color w:val="000000"/>
        </w:rPr>
        <w:t>ncreased consumer protection and associated improved confidence in purchasing decisions are expected to encourage consumer demand and increase competition.</w:t>
      </w:r>
      <w:r w:rsidR="008323E2" w:rsidRPr="00594E2C">
        <w:rPr>
          <w:rStyle w:val="FootnoteReference"/>
          <w:rFonts w:ascii="Arial" w:hAnsi="Arial" w:cs="Arial"/>
          <w:color w:val="000000"/>
        </w:rPr>
        <w:footnoteReference w:id="47"/>
      </w:r>
      <w:r w:rsidR="008323E2" w:rsidRPr="00690F06">
        <w:rPr>
          <w:rFonts w:ascii="Arial" w:hAnsi="Arial" w:cs="Arial"/>
          <w:color w:val="000000"/>
        </w:rPr>
        <w:t xml:space="preserve"> </w:t>
      </w:r>
    </w:p>
    <w:p w:rsidR="002111F8" w:rsidRDefault="0061158C" w:rsidP="00B7209D">
      <w:pPr>
        <w:pStyle w:val="Heading2"/>
        <w:spacing w:after="240"/>
        <w:ind w:left="709" w:hanging="709"/>
        <w:rPr>
          <w:rFonts w:ascii="Arial" w:hAnsi="Arial" w:cs="Arial"/>
          <w:color w:val="000000"/>
        </w:rPr>
      </w:pPr>
      <w:bookmarkStart w:id="96" w:name="_Toc412196638"/>
      <w:r w:rsidRPr="00690F06">
        <w:rPr>
          <w:rFonts w:ascii="Arial" w:hAnsi="Arial" w:cs="Arial"/>
        </w:rPr>
        <w:t>4.</w:t>
      </w:r>
      <w:r>
        <w:rPr>
          <w:rFonts w:ascii="Arial" w:hAnsi="Arial" w:cs="Arial"/>
        </w:rPr>
        <w:t>4</w:t>
      </w:r>
      <w:r w:rsidRPr="00690F06">
        <w:rPr>
          <w:rFonts w:ascii="Arial" w:hAnsi="Arial" w:cs="Arial"/>
        </w:rPr>
        <w:tab/>
      </w:r>
      <w:r w:rsidR="000A452C" w:rsidRPr="00690F06">
        <w:rPr>
          <w:rFonts w:ascii="Arial" w:hAnsi="Arial" w:cs="Arial"/>
        </w:rPr>
        <w:t>Option</w:t>
      </w:r>
      <w:r w:rsidR="000A452C">
        <w:rPr>
          <w:rFonts w:ascii="Arial" w:hAnsi="Arial" w:cs="Arial"/>
        </w:rPr>
        <w:t> </w:t>
      </w:r>
      <w:r>
        <w:rPr>
          <w:rFonts w:ascii="Arial" w:hAnsi="Arial" w:cs="Arial"/>
        </w:rPr>
        <w:t>4</w:t>
      </w:r>
      <w:r w:rsidRPr="00690F06">
        <w:rPr>
          <w:rFonts w:ascii="Arial" w:hAnsi="Arial" w:cs="Arial"/>
        </w:rPr>
        <w:t>:</w:t>
      </w:r>
      <w:r>
        <w:rPr>
          <w:rFonts w:ascii="Arial" w:hAnsi="Arial" w:cs="Arial"/>
        </w:rPr>
        <w:t xml:space="preserve"> Provision of information to consumer</w:t>
      </w:r>
      <w:r w:rsidR="00B41432">
        <w:rPr>
          <w:rFonts w:ascii="Arial" w:hAnsi="Arial" w:cs="Arial"/>
        </w:rPr>
        <w:t>s</w:t>
      </w:r>
      <w:bookmarkEnd w:id="96"/>
    </w:p>
    <w:p w:rsidR="00324997" w:rsidRDefault="0061158C" w:rsidP="008323E2">
      <w:pPr>
        <w:spacing w:after="240"/>
        <w:rPr>
          <w:rFonts w:ascii="Arial" w:hAnsi="Arial" w:cs="Arial"/>
          <w:color w:val="000000"/>
        </w:rPr>
      </w:pPr>
      <w:r>
        <w:rPr>
          <w:rFonts w:ascii="Arial" w:hAnsi="Arial" w:cs="Arial"/>
          <w:color w:val="000000"/>
        </w:rPr>
        <w:t xml:space="preserve">Another option is </w:t>
      </w:r>
      <w:r w:rsidR="0091135B">
        <w:rPr>
          <w:rFonts w:ascii="Arial" w:hAnsi="Arial" w:cs="Arial"/>
          <w:color w:val="000000"/>
        </w:rPr>
        <w:t>to require</w:t>
      </w:r>
      <w:r>
        <w:rPr>
          <w:rFonts w:ascii="Arial" w:hAnsi="Arial" w:cs="Arial"/>
          <w:color w:val="000000"/>
        </w:rPr>
        <w:t xml:space="preserve"> suppliers to provide information to </w:t>
      </w:r>
      <w:proofErr w:type="gramStart"/>
      <w:r>
        <w:rPr>
          <w:rFonts w:ascii="Arial" w:hAnsi="Arial" w:cs="Arial"/>
          <w:color w:val="000000"/>
        </w:rPr>
        <w:t xml:space="preserve">consumers </w:t>
      </w:r>
      <w:r w:rsidR="00324997">
        <w:rPr>
          <w:rFonts w:ascii="Arial" w:hAnsi="Arial" w:cs="Arial"/>
          <w:color w:val="000000"/>
        </w:rPr>
        <w:t>that explains</w:t>
      </w:r>
      <w:proofErr w:type="gramEnd"/>
      <w:r w:rsidR="00324997">
        <w:rPr>
          <w:rFonts w:ascii="Arial" w:hAnsi="Arial" w:cs="Arial"/>
          <w:color w:val="000000"/>
        </w:rPr>
        <w:t xml:space="preserve"> whether they may be exposed to hazardous azo dyes as a result of purchasing/using particular direct and prolonged contact articles. For example, </w:t>
      </w:r>
      <w:r w:rsidR="00385603">
        <w:rPr>
          <w:rFonts w:ascii="Arial" w:hAnsi="Arial" w:cs="Arial"/>
          <w:color w:val="000000"/>
        </w:rPr>
        <w:t>clothing</w:t>
      </w:r>
      <w:r w:rsidR="00324997">
        <w:rPr>
          <w:rFonts w:ascii="Arial" w:hAnsi="Arial" w:cs="Arial"/>
          <w:color w:val="000000"/>
        </w:rPr>
        <w:t xml:space="preserve"> labels could provide a simple statement that declares that hazardous azo dyes may be present in the article in a similar fashion to foods carrying the ‘may contain traces of nuts’ statement. Alternatively, the label might carry detailed </w:t>
      </w:r>
      <w:r w:rsidR="00A336EA">
        <w:rPr>
          <w:rFonts w:ascii="Arial" w:hAnsi="Arial" w:cs="Arial"/>
          <w:color w:val="000000"/>
        </w:rPr>
        <w:t xml:space="preserve">information specifying the </w:t>
      </w:r>
      <w:r w:rsidR="00324997">
        <w:rPr>
          <w:rFonts w:ascii="Arial" w:hAnsi="Arial" w:cs="Arial"/>
          <w:color w:val="000000"/>
        </w:rPr>
        <w:t xml:space="preserve">concentrations of aromatic amines </w:t>
      </w:r>
      <w:r w:rsidR="00A336EA">
        <w:rPr>
          <w:rFonts w:ascii="Arial" w:hAnsi="Arial" w:cs="Arial"/>
          <w:color w:val="000000"/>
        </w:rPr>
        <w:t xml:space="preserve">found in a </w:t>
      </w:r>
      <w:r w:rsidR="00324997">
        <w:rPr>
          <w:rFonts w:ascii="Arial" w:hAnsi="Arial" w:cs="Arial"/>
          <w:color w:val="000000"/>
        </w:rPr>
        <w:t>typical analysis</w:t>
      </w:r>
      <w:r w:rsidR="00A336EA">
        <w:rPr>
          <w:rFonts w:ascii="Arial" w:hAnsi="Arial" w:cs="Arial"/>
          <w:color w:val="000000"/>
        </w:rPr>
        <w:t xml:space="preserve"> for the batch (it is not possible to test each article prior to supply</w:t>
      </w:r>
      <w:r w:rsidR="001D68C6">
        <w:rPr>
          <w:rFonts w:ascii="Arial" w:hAnsi="Arial" w:cs="Arial"/>
          <w:color w:val="000000"/>
        </w:rPr>
        <w:t>) or declare that a typical analysis has found the batch complies with an acceptable limit</w:t>
      </w:r>
      <w:r w:rsidR="00A336EA">
        <w:rPr>
          <w:rFonts w:ascii="Arial" w:hAnsi="Arial" w:cs="Arial"/>
          <w:color w:val="000000"/>
        </w:rPr>
        <w:t>.</w:t>
      </w:r>
    </w:p>
    <w:p w:rsidR="00A336EA" w:rsidRDefault="00A336EA" w:rsidP="008323E2">
      <w:pPr>
        <w:spacing w:after="240"/>
        <w:rPr>
          <w:rFonts w:ascii="Arial" w:hAnsi="Arial" w:cs="Arial"/>
          <w:color w:val="000000"/>
        </w:rPr>
      </w:pPr>
      <w:r>
        <w:rPr>
          <w:rFonts w:ascii="Arial" w:hAnsi="Arial" w:cs="Arial"/>
          <w:color w:val="000000"/>
        </w:rPr>
        <w:t>The provision of information could reduce the extent that exposure to hazardous azo</w:t>
      </w:r>
      <w:r w:rsidR="00FE24E8">
        <w:rPr>
          <w:rFonts w:ascii="Arial" w:hAnsi="Arial" w:cs="Arial"/>
          <w:color w:val="000000"/>
        </w:rPr>
        <w:t xml:space="preserve"> dyes</w:t>
      </w:r>
      <w:r>
        <w:rPr>
          <w:rFonts w:ascii="Arial" w:hAnsi="Arial" w:cs="Arial"/>
          <w:color w:val="000000"/>
        </w:rPr>
        <w:t xml:space="preserve"> was involuntary as it would enable consumers to manage their potential exposure from such articles.</w:t>
      </w:r>
    </w:p>
    <w:p w:rsidR="00BE7F83" w:rsidRDefault="00A336EA" w:rsidP="008323E2">
      <w:pPr>
        <w:spacing w:after="240"/>
        <w:rPr>
          <w:rFonts w:ascii="Arial" w:hAnsi="Arial" w:cs="Arial"/>
          <w:color w:val="000000"/>
        </w:rPr>
      </w:pPr>
      <w:r>
        <w:rPr>
          <w:rFonts w:ascii="Arial" w:hAnsi="Arial" w:cs="Arial"/>
          <w:color w:val="000000"/>
        </w:rPr>
        <w:t xml:space="preserve">Depending on the form </w:t>
      </w:r>
      <w:r w:rsidR="000A452C">
        <w:rPr>
          <w:rFonts w:ascii="Arial" w:hAnsi="Arial" w:cs="Arial"/>
          <w:color w:val="000000"/>
        </w:rPr>
        <w:t>that</w:t>
      </w:r>
      <w:r w:rsidR="006A5094">
        <w:rPr>
          <w:rFonts w:ascii="Arial" w:hAnsi="Arial" w:cs="Arial"/>
          <w:color w:val="000000"/>
        </w:rPr>
        <w:t xml:space="preserve"> </w:t>
      </w:r>
      <w:r>
        <w:rPr>
          <w:rFonts w:ascii="Arial" w:hAnsi="Arial" w:cs="Arial"/>
          <w:color w:val="000000"/>
        </w:rPr>
        <w:t>a mandatory information requirement takes</w:t>
      </w:r>
      <w:r w:rsidR="00FE24E8">
        <w:rPr>
          <w:rFonts w:ascii="Arial" w:hAnsi="Arial" w:cs="Arial"/>
          <w:color w:val="000000"/>
        </w:rPr>
        <w:t>,</w:t>
      </w:r>
      <w:r>
        <w:rPr>
          <w:rFonts w:ascii="Arial" w:hAnsi="Arial" w:cs="Arial"/>
          <w:color w:val="000000"/>
        </w:rPr>
        <w:t xml:space="preserve"> t</w:t>
      </w:r>
      <w:r w:rsidR="00BE7F83">
        <w:rPr>
          <w:rFonts w:ascii="Arial" w:hAnsi="Arial" w:cs="Arial"/>
          <w:color w:val="000000"/>
        </w:rPr>
        <w:t>his option would mean:</w:t>
      </w:r>
    </w:p>
    <w:p w:rsidR="001D68C6" w:rsidRPr="00B7209D" w:rsidRDefault="001D68C6" w:rsidP="00B7209D">
      <w:pPr>
        <w:numPr>
          <w:ilvl w:val="0"/>
          <w:numId w:val="46"/>
        </w:numPr>
        <w:spacing w:after="240"/>
        <w:ind w:left="567" w:hanging="567"/>
        <w:rPr>
          <w:rFonts w:ascii="Arial" w:hAnsi="Arial" w:cs="Arial"/>
        </w:rPr>
      </w:pPr>
      <w:r w:rsidRPr="00B7209D">
        <w:rPr>
          <w:rFonts w:ascii="Arial" w:hAnsi="Arial" w:cs="Arial"/>
        </w:rPr>
        <w:t>Where</w:t>
      </w:r>
      <w:r w:rsidR="00A336EA" w:rsidRPr="00B7209D">
        <w:rPr>
          <w:rFonts w:ascii="Arial" w:hAnsi="Arial" w:cs="Arial"/>
        </w:rPr>
        <w:t xml:space="preserve"> </w:t>
      </w:r>
      <w:r w:rsidRPr="00B7209D">
        <w:rPr>
          <w:rFonts w:ascii="Arial" w:hAnsi="Arial" w:cs="Arial"/>
        </w:rPr>
        <w:t xml:space="preserve">unauthorised </w:t>
      </w:r>
      <w:r w:rsidR="00A336EA" w:rsidRPr="00B7209D">
        <w:rPr>
          <w:rFonts w:ascii="Arial" w:hAnsi="Arial" w:cs="Arial"/>
        </w:rPr>
        <w:t xml:space="preserve">substitution of dyes </w:t>
      </w:r>
      <w:r w:rsidRPr="00B7209D">
        <w:rPr>
          <w:rFonts w:ascii="Arial" w:hAnsi="Arial" w:cs="Arial"/>
        </w:rPr>
        <w:t>has occurred during production</w:t>
      </w:r>
      <w:r w:rsidR="00126618">
        <w:rPr>
          <w:rFonts w:ascii="Arial" w:hAnsi="Arial" w:cs="Arial"/>
        </w:rPr>
        <w:t>,</w:t>
      </w:r>
      <w:r w:rsidRPr="00B7209D">
        <w:rPr>
          <w:rFonts w:ascii="Arial" w:hAnsi="Arial" w:cs="Arial"/>
        </w:rPr>
        <w:t xml:space="preserve"> a</w:t>
      </w:r>
      <w:r w:rsidR="00A336EA" w:rsidRPr="00B7209D">
        <w:rPr>
          <w:rFonts w:ascii="Arial" w:hAnsi="Arial" w:cs="Arial"/>
        </w:rPr>
        <w:t xml:space="preserve"> label</w:t>
      </w:r>
      <w:r w:rsidRPr="00B7209D">
        <w:rPr>
          <w:rFonts w:ascii="Arial" w:hAnsi="Arial" w:cs="Arial"/>
        </w:rPr>
        <w:t xml:space="preserve"> which specifies the concentrations of azo dyes are acceptable will be incorrectly applied to the article, unless the fraud is discovered. The Australian suppliers will </w:t>
      </w:r>
      <w:r w:rsidR="0001795D" w:rsidRPr="00B7209D">
        <w:rPr>
          <w:rFonts w:ascii="Arial" w:hAnsi="Arial" w:cs="Arial"/>
        </w:rPr>
        <w:t xml:space="preserve">still act under the erroneous belief that </w:t>
      </w:r>
      <w:r w:rsidRPr="00B7209D">
        <w:rPr>
          <w:rFonts w:ascii="Arial" w:hAnsi="Arial" w:cs="Arial"/>
        </w:rPr>
        <w:t xml:space="preserve">their specifications </w:t>
      </w:r>
      <w:r w:rsidR="0001795D" w:rsidRPr="00B7209D">
        <w:rPr>
          <w:rFonts w:ascii="Arial" w:hAnsi="Arial" w:cs="Arial"/>
        </w:rPr>
        <w:t>are being</w:t>
      </w:r>
      <w:r w:rsidRPr="00B7209D">
        <w:rPr>
          <w:rFonts w:ascii="Arial" w:hAnsi="Arial" w:cs="Arial"/>
        </w:rPr>
        <w:t xml:space="preserve"> met</w:t>
      </w:r>
      <w:r w:rsidR="00126618">
        <w:rPr>
          <w:rFonts w:ascii="Arial" w:hAnsi="Arial" w:cs="Arial"/>
        </w:rPr>
        <w:t xml:space="preserve"> and consumers would still be exposed to hazardous aromatic amines</w:t>
      </w:r>
      <w:r w:rsidRPr="00B7209D">
        <w:rPr>
          <w:rFonts w:ascii="Arial" w:hAnsi="Arial" w:cs="Arial"/>
        </w:rPr>
        <w:t>.</w:t>
      </w:r>
    </w:p>
    <w:p w:rsidR="00BE7F83" w:rsidRPr="00B7209D" w:rsidRDefault="001D68C6" w:rsidP="00B7209D">
      <w:pPr>
        <w:numPr>
          <w:ilvl w:val="0"/>
          <w:numId w:val="46"/>
        </w:numPr>
        <w:spacing w:after="240"/>
        <w:ind w:left="567" w:hanging="567"/>
        <w:rPr>
          <w:rFonts w:ascii="Arial" w:hAnsi="Arial" w:cs="Arial"/>
        </w:rPr>
      </w:pPr>
      <w:r w:rsidRPr="00B7209D">
        <w:rPr>
          <w:rFonts w:ascii="Arial" w:hAnsi="Arial" w:cs="Arial"/>
        </w:rPr>
        <w:t xml:space="preserve">Where a label specifies </w:t>
      </w:r>
      <w:r w:rsidR="003E3497">
        <w:rPr>
          <w:rFonts w:ascii="Arial" w:hAnsi="Arial" w:cs="Arial"/>
        </w:rPr>
        <w:t xml:space="preserve">that </w:t>
      </w:r>
      <w:r w:rsidRPr="00B7209D">
        <w:rPr>
          <w:rFonts w:ascii="Arial" w:hAnsi="Arial" w:cs="Arial"/>
        </w:rPr>
        <w:t xml:space="preserve">the concentrations of </w:t>
      </w:r>
      <w:r w:rsidR="00126618">
        <w:rPr>
          <w:rFonts w:ascii="Arial" w:hAnsi="Arial" w:cs="Arial"/>
        </w:rPr>
        <w:t>hazardous azo dyes</w:t>
      </w:r>
      <w:r w:rsidRPr="00B7209D">
        <w:rPr>
          <w:rFonts w:ascii="Arial" w:hAnsi="Arial" w:cs="Arial"/>
        </w:rPr>
        <w:t xml:space="preserve"> have been </w:t>
      </w:r>
      <w:r w:rsidR="0001795D" w:rsidRPr="00B7209D">
        <w:rPr>
          <w:rFonts w:ascii="Arial" w:hAnsi="Arial" w:cs="Arial"/>
        </w:rPr>
        <w:t>tested and</w:t>
      </w:r>
      <w:r w:rsidR="003E3497">
        <w:rPr>
          <w:rFonts w:ascii="Arial" w:hAnsi="Arial" w:cs="Arial"/>
        </w:rPr>
        <w:t xml:space="preserve"> are</w:t>
      </w:r>
      <w:r w:rsidR="0001795D" w:rsidRPr="00B7209D">
        <w:rPr>
          <w:rFonts w:ascii="Arial" w:hAnsi="Arial" w:cs="Arial"/>
        </w:rPr>
        <w:t xml:space="preserve"> </w:t>
      </w:r>
      <w:r w:rsidRPr="00B7209D">
        <w:rPr>
          <w:rFonts w:ascii="Arial" w:hAnsi="Arial" w:cs="Arial"/>
        </w:rPr>
        <w:t xml:space="preserve">found </w:t>
      </w:r>
      <w:r w:rsidR="0001795D" w:rsidRPr="00B7209D">
        <w:rPr>
          <w:rFonts w:ascii="Arial" w:hAnsi="Arial" w:cs="Arial"/>
        </w:rPr>
        <w:t>to be</w:t>
      </w:r>
      <w:r w:rsidRPr="00B7209D">
        <w:rPr>
          <w:rFonts w:ascii="Arial" w:hAnsi="Arial" w:cs="Arial"/>
        </w:rPr>
        <w:t xml:space="preserve"> acceptable, th</w:t>
      </w:r>
      <w:r w:rsidR="0001795D" w:rsidRPr="00B7209D">
        <w:rPr>
          <w:rFonts w:ascii="Arial" w:hAnsi="Arial" w:cs="Arial"/>
        </w:rPr>
        <w:t>ose</w:t>
      </w:r>
      <w:r w:rsidR="00BE7F83" w:rsidRPr="00B7209D">
        <w:rPr>
          <w:rFonts w:ascii="Arial" w:hAnsi="Arial" w:cs="Arial"/>
        </w:rPr>
        <w:t xml:space="preserve"> suppliers will incur the same costs </w:t>
      </w:r>
      <w:r w:rsidR="0001795D" w:rsidRPr="00B7209D">
        <w:rPr>
          <w:rFonts w:ascii="Arial" w:hAnsi="Arial" w:cs="Arial"/>
        </w:rPr>
        <w:t xml:space="preserve">as </w:t>
      </w:r>
      <w:r w:rsidR="0001795D" w:rsidRPr="00B7209D">
        <w:rPr>
          <w:rFonts w:ascii="Arial" w:hAnsi="Arial" w:cs="Arial"/>
        </w:rPr>
        <w:lastRenderedPageBreak/>
        <w:t>they would have under</w:t>
      </w:r>
      <w:r w:rsidR="00316B84" w:rsidRPr="00B7209D">
        <w:rPr>
          <w:rFonts w:ascii="Arial" w:hAnsi="Arial" w:cs="Arial"/>
        </w:rPr>
        <w:t xml:space="preserve"> regulatory </w:t>
      </w:r>
      <w:r w:rsidR="00BE7F83" w:rsidRPr="00B7209D">
        <w:rPr>
          <w:rFonts w:ascii="Arial" w:hAnsi="Arial" w:cs="Arial"/>
        </w:rPr>
        <w:t>option 4.3 above</w:t>
      </w:r>
      <w:r w:rsidR="00535E70" w:rsidRPr="00B7209D">
        <w:rPr>
          <w:rFonts w:ascii="Arial" w:hAnsi="Arial" w:cs="Arial"/>
        </w:rPr>
        <w:t>,</w:t>
      </w:r>
      <w:r w:rsidR="00BE7F83" w:rsidRPr="00B7209D">
        <w:rPr>
          <w:rFonts w:ascii="Arial" w:hAnsi="Arial" w:cs="Arial"/>
        </w:rPr>
        <w:t xml:space="preserve"> as well as </w:t>
      </w:r>
      <w:r w:rsidR="0001795D" w:rsidRPr="00B7209D">
        <w:rPr>
          <w:rFonts w:ascii="Arial" w:hAnsi="Arial" w:cs="Arial"/>
        </w:rPr>
        <w:t xml:space="preserve">any </w:t>
      </w:r>
      <w:r w:rsidR="00BE7F83" w:rsidRPr="00B7209D">
        <w:rPr>
          <w:rFonts w:ascii="Arial" w:hAnsi="Arial" w:cs="Arial"/>
        </w:rPr>
        <w:t xml:space="preserve">additional cost of </w:t>
      </w:r>
      <w:r w:rsidR="0001795D" w:rsidRPr="00B7209D">
        <w:rPr>
          <w:rFonts w:ascii="Arial" w:hAnsi="Arial" w:cs="Arial"/>
        </w:rPr>
        <w:t>producing the labels with the</w:t>
      </w:r>
      <w:r w:rsidR="00535E70" w:rsidRPr="00B7209D">
        <w:rPr>
          <w:rFonts w:ascii="Arial" w:hAnsi="Arial" w:cs="Arial"/>
        </w:rPr>
        <w:t xml:space="preserve"> information.</w:t>
      </w:r>
      <w:r w:rsidR="00BE7F83" w:rsidRPr="00B7209D">
        <w:rPr>
          <w:rFonts w:ascii="Arial" w:hAnsi="Arial" w:cs="Arial"/>
        </w:rPr>
        <w:t xml:space="preserve"> </w:t>
      </w:r>
      <w:r w:rsidR="00126618">
        <w:rPr>
          <w:rFonts w:ascii="Arial" w:hAnsi="Arial" w:cs="Arial"/>
        </w:rPr>
        <w:t>So</w:t>
      </w:r>
      <w:r w:rsidR="00126618" w:rsidRPr="00B7209D">
        <w:rPr>
          <w:rFonts w:ascii="Arial" w:hAnsi="Arial" w:cs="Arial"/>
        </w:rPr>
        <w:t xml:space="preserve"> </w:t>
      </w:r>
      <w:r w:rsidR="00EF2B4E" w:rsidRPr="00B7209D">
        <w:rPr>
          <w:rFonts w:ascii="Arial" w:hAnsi="Arial" w:cs="Arial"/>
        </w:rPr>
        <w:t xml:space="preserve">industry and/or consumers would incur additional costs for </w:t>
      </w:r>
      <w:r w:rsidR="00126618">
        <w:rPr>
          <w:rFonts w:ascii="Arial" w:hAnsi="Arial" w:cs="Arial"/>
        </w:rPr>
        <w:t xml:space="preserve">labelling with </w:t>
      </w:r>
      <w:r w:rsidR="00EF2B4E" w:rsidRPr="00B7209D">
        <w:rPr>
          <w:rFonts w:ascii="Arial" w:hAnsi="Arial" w:cs="Arial"/>
        </w:rPr>
        <w:t>little or no tangible benefit</w:t>
      </w:r>
      <w:r w:rsidR="00126618">
        <w:rPr>
          <w:rFonts w:ascii="Arial" w:hAnsi="Arial" w:cs="Arial"/>
        </w:rPr>
        <w:t xml:space="preserve"> compared to regulatory option 4.3</w:t>
      </w:r>
      <w:r w:rsidR="00EF2B4E" w:rsidRPr="00B7209D">
        <w:rPr>
          <w:rFonts w:ascii="Arial" w:hAnsi="Arial" w:cs="Arial"/>
        </w:rPr>
        <w:t>.</w:t>
      </w:r>
    </w:p>
    <w:p w:rsidR="0001795D" w:rsidRPr="00B7209D" w:rsidRDefault="0001795D" w:rsidP="00B7209D">
      <w:pPr>
        <w:numPr>
          <w:ilvl w:val="0"/>
          <w:numId w:val="46"/>
        </w:numPr>
        <w:spacing w:after="240"/>
        <w:ind w:left="567" w:hanging="567"/>
        <w:rPr>
          <w:rFonts w:ascii="Arial" w:hAnsi="Arial" w:cs="Arial"/>
        </w:rPr>
      </w:pPr>
      <w:r w:rsidRPr="00B7209D">
        <w:rPr>
          <w:rFonts w:ascii="Arial" w:hAnsi="Arial" w:cs="Arial"/>
        </w:rPr>
        <w:t>The potential penalties for making false or misleading representations could be applied</w:t>
      </w:r>
      <w:r w:rsidR="0080022B" w:rsidRPr="00B7209D">
        <w:rPr>
          <w:rFonts w:ascii="Arial" w:hAnsi="Arial" w:cs="Arial"/>
        </w:rPr>
        <w:t>, to cases where the information on labels is untrue.</w:t>
      </w:r>
      <w:r w:rsidR="0091135B" w:rsidRPr="00B7209D">
        <w:rPr>
          <w:rFonts w:ascii="Arial" w:hAnsi="Arial" w:cs="Arial"/>
        </w:rPr>
        <w:t xml:space="preserve"> This may provide suppliers with added incentive to test products so they are not making false or misleading representations.</w:t>
      </w:r>
      <w:r w:rsidR="00126618">
        <w:rPr>
          <w:rFonts w:ascii="Arial" w:hAnsi="Arial" w:cs="Arial"/>
        </w:rPr>
        <w:t xml:space="preserve"> However, regulatory option 4.3 </w:t>
      </w:r>
      <w:r w:rsidR="00B7752F">
        <w:rPr>
          <w:rFonts w:ascii="Arial" w:hAnsi="Arial" w:cs="Arial"/>
        </w:rPr>
        <w:t xml:space="preserve">also </w:t>
      </w:r>
      <w:r w:rsidR="00126618">
        <w:rPr>
          <w:rFonts w:ascii="Arial" w:hAnsi="Arial" w:cs="Arial"/>
        </w:rPr>
        <w:t xml:space="preserve">provides </w:t>
      </w:r>
      <w:r w:rsidR="003F50CB">
        <w:rPr>
          <w:rFonts w:ascii="Arial" w:hAnsi="Arial" w:cs="Arial"/>
        </w:rPr>
        <w:t>a</w:t>
      </w:r>
      <w:r w:rsidR="00922714">
        <w:rPr>
          <w:rFonts w:ascii="Arial" w:hAnsi="Arial" w:cs="Arial"/>
        </w:rPr>
        <w:t xml:space="preserve"> similar</w:t>
      </w:r>
      <w:r w:rsidR="00126618">
        <w:rPr>
          <w:rFonts w:ascii="Arial" w:hAnsi="Arial" w:cs="Arial"/>
        </w:rPr>
        <w:t xml:space="preserve"> incentive to </w:t>
      </w:r>
      <w:r w:rsidR="00B7752F">
        <w:rPr>
          <w:rFonts w:ascii="Arial" w:hAnsi="Arial" w:cs="Arial"/>
        </w:rPr>
        <w:t xml:space="preserve">test </w:t>
      </w:r>
      <w:r w:rsidR="00126618">
        <w:rPr>
          <w:rFonts w:ascii="Arial" w:hAnsi="Arial" w:cs="Arial"/>
        </w:rPr>
        <w:t>products</w:t>
      </w:r>
      <w:r w:rsidR="00B7752F">
        <w:rPr>
          <w:rFonts w:ascii="Arial" w:hAnsi="Arial" w:cs="Arial"/>
        </w:rPr>
        <w:t>.</w:t>
      </w:r>
    </w:p>
    <w:p w:rsidR="00535E70" w:rsidRPr="00B7209D" w:rsidRDefault="00535E70" w:rsidP="00B7209D">
      <w:pPr>
        <w:numPr>
          <w:ilvl w:val="0"/>
          <w:numId w:val="46"/>
        </w:numPr>
        <w:spacing w:after="240"/>
        <w:ind w:left="567" w:hanging="567"/>
        <w:rPr>
          <w:rFonts w:ascii="Arial" w:hAnsi="Arial" w:cs="Arial"/>
        </w:rPr>
      </w:pPr>
      <w:r w:rsidRPr="00B7209D">
        <w:rPr>
          <w:rFonts w:ascii="Arial" w:hAnsi="Arial" w:cs="Arial"/>
        </w:rPr>
        <w:t xml:space="preserve">Labelling </w:t>
      </w:r>
      <w:r w:rsidR="0001795D" w:rsidRPr="00B7209D">
        <w:rPr>
          <w:rFonts w:ascii="Arial" w:hAnsi="Arial" w:cs="Arial"/>
        </w:rPr>
        <w:t xml:space="preserve">that </w:t>
      </w:r>
      <w:r w:rsidR="0080022B" w:rsidRPr="00B7209D">
        <w:rPr>
          <w:rFonts w:ascii="Arial" w:hAnsi="Arial" w:cs="Arial"/>
        </w:rPr>
        <w:t xml:space="preserve">certain </w:t>
      </w:r>
      <w:r w:rsidR="0001795D" w:rsidRPr="00B7209D">
        <w:rPr>
          <w:rFonts w:ascii="Arial" w:hAnsi="Arial" w:cs="Arial"/>
        </w:rPr>
        <w:t>aromatic amin</w:t>
      </w:r>
      <w:r w:rsidR="0080022B" w:rsidRPr="00B7209D">
        <w:rPr>
          <w:rFonts w:ascii="Arial" w:hAnsi="Arial" w:cs="Arial"/>
        </w:rPr>
        <w:t xml:space="preserve">es </w:t>
      </w:r>
      <w:r w:rsidR="00EF2B4E" w:rsidRPr="00B7209D">
        <w:rPr>
          <w:rFonts w:ascii="Arial" w:hAnsi="Arial" w:cs="Arial"/>
        </w:rPr>
        <w:t xml:space="preserve">will </w:t>
      </w:r>
      <w:r w:rsidR="0080022B" w:rsidRPr="00B7209D">
        <w:rPr>
          <w:rFonts w:ascii="Arial" w:hAnsi="Arial" w:cs="Arial"/>
        </w:rPr>
        <w:t>not</w:t>
      </w:r>
      <w:r w:rsidR="00EF2B4E" w:rsidRPr="00B7209D">
        <w:rPr>
          <w:rFonts w:ascii="Arial" w:hAnsi="Arial" w:cs="Arial"/>
        </w:rPr>
        <w:t xml:space="preserve"> be present </w:t>
      </w:r>
      <w:r w:rsidR="0080022B" w:rsidRPr="00B7209D">
        <w:rPr>
          <w:rFonts w:ascii="Arial" w:hAnsi="Arial" w:cs="Arial"/>
        </w:rPr>
        <w:t xml:space="preserve">in dyed articles is a message that </w:t>
      </w:r>
      <w:r w:rsidR="00FE24E8" w:rsidRPr="00B7209D">
        <w:rPr>
          <w:rFonts w:ascii="Arial" w:hAnsi="Arial" w:cs="Arial"/>
        </w:rPr>
        <w:t>cannot</w:t>
      </w:r>
      <w:r w:rsidR="0080022B" w:rsidRPr="00B7209D">
        <w:rPr>
          <w:rFonts w:ascii="Arial" w:hAnsi="Arial" w:cs="Arial"/>
        </w:rPr>
        <w:t xml:space="preserve"> be simply translated into a simple risk message to consumers. It </w:t>
      </w:r>
      <w:r w:rsidRPr="00B7209D">
        <w:rPr>
          <w:rFonts w:ascii="Arial" w:hAnsi="Arial" w:cs="Arial"/>
        </w:rPr>
        <w:t>may</w:t>
      </w:r>
      <w:r w:rsidR="00B7752F">
        <w:rPr>
          <w:rFonts w:ascii="Arial" w:hAnsi="Arial" w:cs="Arial"/>
        </w:rPr>
        <w:t xml:space="preserve"> however,</w:t>
      </w:r>
      <w:r w:rsidRPr="00B7209D">
        <w:rPr>
          <w:rFonts w:ascii="Arial" w:hAnsi="Arial" w:cs="Arial"/>
        </w:rPr>
        <w:t xml:space="preserve"> allay the fears of some consumers if they </w:t>
      </w:r>
      <w:r w:rsidR="0080022B" w:rsidRPr="00B7209D">
        <w:rPr>
          <w:rFonts w:ascii="Arial" w:hAnsi="Arial" w:cs="Arial"/>
        </w:rPr>
        <w:t xml:space="preserve">were previously concerned and they </w:t>
      </w:r>
      <w:r w:rsidRPr="00B7209D">
        <w:rPr>
          <w:rFonts w:ascii="Arial" w:hAnsi="Arial" w:cs="Arial"/>
        </w:rPr>
        <w:t>believe the labelling to be truthful.</w:t>
      </w:r>
      <w:r w:rsidR="0080022B" w:rsidRPr="00B7209D">
        <w:rPr>
          <w:rFonts w:ascii="Arial" w:hAnsi="Arial" w:cs="Arial"/>
        </w:rPr>
        <w:t xml:space="preserve"> It may not have significance to many consumers who already assume that suppliers attend to safety issues and that they would not use toxic chemicals where there are </w:t>
      </w:r>
      <w:r w:rsidR="000A452C" w:rsidRPr="00B7209D">
        <w:rPr>
          <w:rFonts w:ascii="Arial" w:hAnsi="Arial" w:cs="Arial"/>
        </w:rPr>
        <w:t xml:space="preserve">safer </w:t>
      </w:r>
      <w:r w:rsidR="0080022B" w:rsidRPr="00B7209D">
        <w:rPr>
          <w:rFonts w:ascii="Arial" w:hAnsi="Arial" w:cs="Arial"/>
        </w:rPr>
        <w:t>alternatives.</w:t>
      </w:r>
    </w:p>
    <w:p w:rsidR="00535E70" w:rsidRPr="00B7209D" w:rsidRDefault="00535E70" w:rsidP="00B7209D">
      <w:pPr>
        <w:numPr>
          <w:ilvl w:val="0"/>
          <w:numId w:val="46"/>
        </w:numPr>
        <w:spacing w:after="240"/>
        <w:ind w:left="567" w:hanging="567"/>
        <w:rPr>
          <w:rFonts w:ascii="Arial" w:hAnsi="Arial" w:cs="Arial"/>
        </w:rPr>
      </w:pPr>
      <w:r w:rsidRPr="00B7209D">
        <w:rPr>
          <w:rFonts w:ascii="Arial" w:hAnsi="Arial" w:cs="Arial"/>
        </w:rPr>
        <w:t xml:space="preserve">Suppliers may decide not to test their products and simply apply a label to say so. In this case consumers are no better off than under </w:t>
      </w:r>
      <w:r w:rsidR="000A452C" w:rsidRPr="00B7209D">
        <w:rPr>
          <w:rFonts w:ascii="Arial" w:hAnsi="Arial" w:cs="Arial"/>
        </w:rPr>
        <w:t>option </w:t>
      </w:r>
      <w:r w:rsidRPr="00B7209D">
        <w:rPr>
          <w:rFonts w:ascii="Arial" w:hAnsi="Arial" w:cs="Arial"/>
        </w:rPr>
        <w:t>1 above</w:t>
      </w:r>
      <w:r w:rsidR="00316B84" w:rsidRPr="00B7209D">
        <w:rPr>
          <w:rFonts w:ascii="Arial" w:hAnsi="Arial" w:cs="Arial"/>
        </w:rPr>
        <w:t xml:space="preserve"> (the ‘</w:t>
      </w:r>
      <w:r w:rsidR="00FE24E8" w:rsidRPr="00B7209D">
        <w:rPr>
          <w:rFonts w:ascii="Arial" w:hAnsi="Arial" w:cs="Arial"/>
        </w:rPr>
        <w:t>status quo</w:t>
      </w:r>
      <w:r w:rsidR="00316B84" w:rsidRPr="00B7209D">
        <w:rPr>
          <w:rFonts w:ascii="Arial" w:hAnsi="Arial" w:cs="Arial"/>
        </w:rPr>
        <w:t>’ option)</w:t>
      </w:r>
      <w:r w:rsidRPr="00B7209D">
        <w:rPr>
          <w:rFonts w:ascii="Arial" w:hAnsi="Arial" w:cs="Arial"/>
        </w:rPr>
        <w:t xml:space="preserve"> </w:t>
      </w:r>
      <w:r w:rsidR="00316B84" w:rsidRPr="00B7209D">
        <w:rPr>
          <w:rFonts w:ascii="Arial" w:hAnsi="Arial" w:cs="Arial"/>
        </w:rPr>
        <w:t xml:space="preserve">but </w:t>
      </w:r>
      <w:r w:rsidRPr="00B7209D">
        <w:rPr>
          <w:rFonts w:ascii="Arial" w:hAnsi="Arial" w:cs="Arial"/>
        </w:rPr>
        <w:t>suppliers will incur the additional cost of applying a label</w:t>
      </w:r>
      <w:r w:rsidR="005367BB" w:rsidRPr="00B7209D">
        <w:rPr>
          <w:rFonts w:ascii="Arial" w:hAnsi="Arial" w:cs="Arial"/>
        </w:rPr>
        <w:t xml:space="preserve"> (and potentially risk breaching the misrepresentation provisions of the ACL)</w:t>
      </w:r>
      <w:r w:rsidRPr="00B7209D">
        <w:rPr>
          <w:rFonts w:ascii="Arial" w:hAnsi="Arial" w:cs="Arial"/>
        </w:rPr>
        <w:t>.</w:t>
      </w:r>
    </w:p>
    <w:p w:rsidR="00476827" w:rsidRDefault="00BE7F83" w:rsidP="008323E2">
      <w:pPr>
        <w:spacing w:after="240"/>
        <w:rPr>
          <w:rFonts w:ascii="Arial" w:hAnsi="Arial" w:cs="Arial"/>
          <w:color w:val="000000"/>
        </w:rPr>
      </w:pPr>
      <w:r>
        <w:rPr>
          <w:rFonts w:ascii="Arial" w:hAnsi="Arial" w:cs="Arial"/>
          <w:color w:val="000000"/>
        </w:rPr>
        <w:t>This option</w:t>
      </w:r>
      <w:r w:rsidR="00316B84">
        <w:rPr>
          <w:rFonts w:ascii="Arial" w:hAnsi="Arial" w:cs="Arial"/>
          <w:color w:val="000000"/>
        </w:rPr>
        <w:t xml:space="preserve"> is </w:t>
      </w:r>
      <w:r w:rsidR="00316B84" w:rsidRPr="00FE24E8">
        <w:rPr>
          <w:rFonts w:ascii="Arial" w:hAnsi="Arial" w:cs="Arial"/>
          <w:i/>
          <w:color w:val="000000"/>
        </w:rPr>
        <w:t xml:space="preserve">not considered </w:t>
      </w:r>
      <w:r w:rsidR="00EF2B4E">
        <w:rPr>
          <w:rFonts w:ascii="Arial" w:hAnsi="Arial" w:cs="Arial"/>
          <w:i/>
          <w:color w:val="000000"/>
        </w:rPr>
        <w:t>further</w:t>
      </w:r>
      <w:r w:rsidR="00316B84">
        <w:rPr>
          <w:rFonts w:ascii="Arial" w:hAnsi="Arial" w:cs="Arial"/>
          <w:color w:val="000000"/>
        </w:rPr>
        <w:t xml:space="preserve"> </w:t>
      </w:r>
      <w:r w:rsidR="00535E70">
        <w:rPr>
          <w:rFonts w:ascii="Arial" w:hAnsi="Arial" w:cs="Arial"/>
          <w:color w:val="000000"/>
        </w:rPr>
        <w:t xml:space="preserve">because </w:t>
      </w:r>
      <w:r w:rsidR="00476827">
        <w:rPr>
          <w:rFonts w:ascii="Arial" w:hAnsi="Arial" w:cs="Arial"/>
          <w:color w:val="000000"/>
        </w:rPr>
        <w:t>there would be few if any quantifiable benefits for consumers over the regulatory option outlined in the section above, and it would result in additional costs for suppliers.</w:t>
      </w:r>
    </w:p>
    <w:p w:rsidR="002D599C" w:rsidRPr="00057880" w:rsidRDefault="0059148F" w:rsidP="003E04B2">
      <w:pPr>
        <w:pStyle w:val="Heading1"/>
        <w:numPr>
          <w:ilvl w:val="0"/>
          <w:numId w:val="18"/>
        </w:numPr>
        <w:spacing w:after="240"/>
        <w:rPr>
          <w:rFonts w:ascii="Lucida Fax" w:hAnsi="Lucida Fax"/>
          <w:lang w:val="en-AU"/>
        </w:rPr>
      </w:pPr>
      <w:bookmarkStart w:id="97" w:name="_Toc412196639"/>
      <w:r w:rsidRPr="00057880">
        <w:rPr>
          <w:rFonts w:ascii="Lucida Fax" w:hAnsi="Lucida Fax"/>
          <w:lang w:val="en-AU"/>
        </w:rPr>
        <w:t xml:space="preserve">The </w:t>
      </w:r>
      <w:r w:rsidR="002D599C" w:rsidRPr="00057880">
        <w:rPr>
          <w:rFonts w:ascii="Lucida Fax" w:hAnsi="Lucida Fax"/>
          <w:lang w:val="en-AU"/>
        </w:rPr>
        <w:t xml:space="preserve">likely </w:t>
      </w:r>
      <w:r w:rsidR="00114798" w:rsidRPr="00057880">
        <w:rPr>
          <w:rFonts w:ascii="Lucida Fax" w:hAnsi="Lucida Fax"/>
          <w:lang w:val="en-AU"/>
        </w:rPr>
        <w:t xml:space="preserve">net </w:t>
      </w:r>
      <w:r w:rsidR="002D599C" w:rsidRPr="00057880">
        <w:rPr>
          <w:rFonts w:ascii="Lucida Fax" w:hAnsi="Lucida Fax"/>
          <w:lang w:val="en-AU"/>
        </w:rPr>
        <w:t>benefit of each option</w:t>
      </w:r>
      <w:bookmarkEnd w:id="97"/>
    </w:p>
    <w:p w:rsidR="00AA6F25" w:rsidRDefault="00AA6F25" w:rsidP="00AA6F25">
      <w:pPr>
        <w:spacing w:after="240"/>
        <w:rPr>
          <w:rFonts w:ascii="Arial" w:hAnsi="Arial" w:cs="Arial"/>
        </w:rPr>
      </w:pPr>
      <w:r w:rsidRPr="00690F06">
        <w:rPr>
          <w:rFonts w:ascii="Arial" w:hAnsi="Arial" w:cs="Arial"/>
        </w:rPr>
        <w:t xml:space="preserve">This section of the draft RIS assesses the likely benefits and costs of each option. </w:t>
      </w:r>
      <w:r w:rsidRPr="00690F06">
        <w:rPr>
          <w:rFonts w:ascii="Arial" w:hAnsi="Arial" w:cs="Arial"/>
          <w:i/>
        </w:rPr>
        <w:t>The Australian Government Guide to Regulation</w:t>
      </w:r>
      <w:r w:rsidR="00973FE6">
        <w:rPr>
          <w:rFonts w:ascii="Arial" w:hAnsi="Arial" w:cs="Arial"/>
        </w:rPr>
        <w:t xml:space="preserve"> requires any new regulation to be offset by a reduction in existing regulatory burden.</w:t>
      </w:r>
      <w:r w:rsidR="00973FE6" w:rsidRPr="00973FE6">
        <w:rPr>
          <w:rStyle w:val="FootnoteReference"/>
          <w:rFonts w:ascii="Arial" w:hAnsi="Arial" w:cs="Arial"/>
        </w:rPr>
        <w:t xml:space="preserve"> </w:t>
      </w:r>
      <w:r w:rsidR="00973FE6" w:rsidRPr="00690F06">
        <w:rPr>
          <w:rStyle w:val="FootnoteReference"/>
          <w:rFonts w:ascii="Arial" w:hAnsi="Arial" w:cs="Arial"/>
        </w:rPr>
        <w:footnoteReference w:id="48"/>
      </w:r>
      <w:r w:rsidRPr="00690F06">
        <w:rPr>
          <w:rFonts w:ascii="Arial" w:hAnsi="Arial" w:cs="Arial"/>
        </w:rPr>
        <w:t xml:space="preserve"> </w:t>
      </w:r>
      <w:r w:rsidR="00973FE6">
        <w:rPr>
          <w:rFonts w:ascii="Arial" w:hAnsi="Arial" w:cs="Arial"/>
        </w:rPr>
        <w:t>For the regulatory option below</w:t>
      </w:r>
      <w:r w:rsidR="00902E60">
        <w:rPr>
          <w:rFonts w:ascii="Arial" w:hAnsi="Arial" w:cs="Arial"/>
        </w:rPr>
        <w:t xml:space="preserve"> (option 3)</w:t>
      </w:r>
      <w:r w:rsidR="00973FE6">
        <w:rPr>
          <w:rFonts w:ascii="Arial" w:hAnsi="Arial" w:cs="Arial"/>
        </w:rPr>
        <w:t>, a</w:t>
      </w:r>
      <w:r w:rsidR="00973FE6" w:rsidRPr="00D330EE">
        <w:rPr>
          <w:rFonts w:ascii="Arial" w:hAnsi="Arial" w:cs="Arial"/>
        </w:rPr>
        <w:t xml:space="preserve"> regulatory offset has been identified from within the Treasury portfolio, relating to the </w:t>
      </w:r>
      <w:r w:rsidR="00902E60">
        <w:rPr>
          <w:rFonts w:ascii="Arial" w:hAnsi="Arial" w:cs="Arial"/>
        </w:rPr>
        <w:t>‘</w:t>
      </w:r>
      <w:proofErr w:type="spellStart"/>
      <w:r w:rsidR="00973FE6" w:rsidRPr="00D330EE">
        <w:rPr>
          <w:rFonts w:ascii="Arial" w:hAnsi="Arial" w:cs="Arial"/>
        </w:rPr>
        <w:t>MyTax</w:t>
      </w:r>
      <w:proofErr w:type="spellEnd"/>
      <w:r w:rsidR="00902E60">
        <w:rPr>
          <w:rFonts w:ascii="Arial" w:hAnsi="Arial" w:cs="Arial"/>
        </w:rPr>
        <w:t>’</w:t>
      </w:r>
      <w:r w:rsidR="00973FE6" w:rsidRPr="00D330EE">
        <w:rPr>
          <w:rFonts w:ascii="Arial" w:hAnsi="Arial" w:cs="Arial"/>
        </w:rPr>
        <w:t xml:space="preserve"> reforms</w:t>
      </w:r>
      <w:r w:rsidR="00973FE6">
        <w:rPr>
          <w:rFonts w:ascii="Arial" w:hAnsi="Arial" w:cs="Arial"/>
        </w:rPr>
        <w:t>.</w:t>
      </w:r>
    </w:p>
    <w:p w:rsidR="00AA6F25" w:rsidRDefault="00AA6F25" w:rsidP="00AA6F25">
      <w:pPr>
        <w:spacing w:after="240"/>
        <w:rPr>
          <w:rFonts w:ascii="Arial" w:hAnsi="Arial" w:cs="Arial"/>
        </w:rPr>
      </w:pPr>
      <w:r>
        <w:rPr>
          <w:rFonts w:ascii="Arial" w:hAnsi="Arial" w:cs="Arial"/>
        </w:rPr>
        <w:t xml:space="preserve">To estimate costs to industry, the ACCC sought input from Australian suppliers about the current cost of their quality control and testing arrangements used to monitor for the use of azo dyes in their products. The suppliers were then asked to estimate any additional costs of complying with </w:t>
      </w:r>
      <w:r w:rsidR="00B7752F">
        <w:rPr>
          <w:rFonts w:ascii="Arial" w:hAnsi="Arial" w:cs="Arial"/>
        </w:rPr>
        <w:t>regulation which mirrored EU restrictions</w:t>
      </w:r>
      <w:r>
        <w:rPr>
          <w:rFonts w:ascii="Arial" w:hAnsi="Arial" w:cs="Arial"/>
        </w:rPr>
        <w:t>. Costs to suppliers in controlling the use of azo dyes were attributed to</w:t>
      </w:r>
      <w:r w:rsidR="000A452C">
        <w:rPr>
          <w:rFonts w:ascii="Arial" w:hAnsi="Arial" w:cs="Arial"/>
        </w:rPr>
        <w:t>:</w:t>
      </w:r>
      <w:r>
        <w:rPr>
          <w:rFonts w:ascii="Arial" w:hAnsi="Arial" w:cs="Arial"/>
        </w:rPr>
        <w:t xml:space="preserve"> </w:t>
      </w:r>
    </w:p>
    <w:p w:rsidR="00AA6F25" w:rsidRPr="005C15F3" w:rsidRDefault="00AA6F25" w:rsidP="00B7209D">
      <w:pPr>
        <w:numPr>
          <w:ilvl w:val="0"/>
          <w:numId w:val="46"/>
        </w:numPr>
        <w:spacing w:after="240"/>
        <w:ind w:left="567" w:hanging="567"/>
        <w:rPr>
          <w:rFonts w:cs="Arial"/>
        </w:rPr>
      </w:pPr>
      <w:r w:rsidRPr="00B7209D">
        <w:rPr>
          <w:rFonts w:ascii="Arial" w:hAnsi="Arial" w:cs="Arial"/>
        </w:rPr>
        <w:t>the costs of negotiating the nature of dyes t</w:t>
      </w:r>
      <w:r w:rsidR="003D08A9">
        <w:rPr>
          <w:rFonts w:ascii="Arial" w:hAnsi="Arial" w:cs="Arial"/>
        </w:rPr>
        <w:t>hat may be used in the products</w:t>
      </w:r>
    </w:p>
    <w:p w:rsidR="00AA6F25" w:rsidRPr="005C15F3" w:rsidRDefault="00AA6F25" w:rsidP="00B7209D">
      <w:pPr>
        <w:numPr>
          <w:ilvl w:val="0"/>
          <w:numId w:val="46"/>
        </w:numPr>
        <w:spacing w:after="240"/>
        <w:ind w:left="567" w:hanging="567"/>
        <w:rPr>
          <w:rFonts w:cs="Arial"/>
        </w:rPr>
      </w:pPr>
      <w:r w:rsidRPr="00B7209D">
        <w:rPr>
          <w:rFonts w:ascii="Arial" w:hAnsi="Arial" w:cs="Arial"/>
        </w:rPr>
        <w:t xml:space="preserve">salary and overhead </w:t>
      </w:r>
      <w:r w:rsidR="003D08A9">
        <w:rPr>
          <w:rFonts w:ascii="Arial" w:hAnsi="Arial" w:cs="Arial"/>
        </w:rPr>
        <w:t>costs for quality control staff</w:t>
      </w:r>
    </w:p>
    <w:p w:rsidR="00AA6F25" w:rsidRPr="005C15F3" w:rsidRDefault="00AA6F25" w:rsidP="00B7209D">
      <w:pPr>
        <w:numPr>
          <w:ilvl w:val="0"/>
          <w:numId w:val="46"/>
        </w:numPr>
        <w:spacing w:after="240"/>
        <w:ind w:left="567" w:hanging="567"/>
        <w:rPr>
          <w:rFonts w:cs="Arial"/>
        </w:rPr>
      </w:pPr>
      <w:r w:rsidRPr="00B7209D">
        <w:rPr>
          <w:rFonts w:ascii="Arial" w:hAnsi="Arial" w:cs="Arial"/>
        </w:rPr>
        <w:t>cost</w:t>
      </w:r>
      <w:r w:rsidR="003D08A9">
        <w:rPr>
          <w:rFonts w:ascii="Arial" w:hAnsi="Arial" w:cs="Arial"/>
        </w:rPr>
        <w:t>s of testing and reporting</w:t>
      </w:r>
    </w:p>
    <w:p w:rsidR="00AA6F25" w:rsidRPr="005C15F3" w:rsidRDefault="00AA6F25" w:rsidP="00B7209D">
      <w:pPr>
        <w:numPr>
          <w:ilvl w:val="0"/>
          <w:numId w:val="46"/>
        </w:numPr>
        <w:spacing w:after="240"/>
        <w:ind w:left="567" w:hanging="567"/>
        <w:rPr>
          <w:rFonts w:cs="Arial"/>
        </w:rPr>
      </w:pPr>
      <w:proofErr w:type="gramStart"/>
      <w:r w:rsidRPr="00B7209D">
        <w:rPr>
          <w:rFonts w:ascii="Arial" w:hAnsi="Arial" w:cs="Arial"/>
        </w:rPr>
        <w:t>delays</w:t>
      </w:r>
      <w:proofErr w:type="gramEnd"/>
      <w:r w:rsidRPr="00B7209D">
        <w:rPr>
          <w:rFonts w:ascii="Arial" w:hAnsi="Arial" w:cs="Arial"/>
        </w:rPr>
        <w:t xml:space="preserve"> in stock delivery to the next stage of the supply chain due to quarantine of stock pending testing results.</w:t>
      </w:r>
    </w:p>
    <w:p w:rsidR="00902E60" w:rsidRDefault="00902E60" w:rsidP="00AA6F25">
      <w:pPr>
        <w:spacing w:after="240"/>
        <w:rPr>
          <w:rFonts w:ascii="Arial" w:hAnsi="Arial" w:cs="Arial"/>
        </w:rPr>
      </w:pPr>
      <w:r>
        <w:rPr>
          <w:rFonts w:ascii="Arial" w:hAnsi="Arial" w:cs="Arial"/>
        </w:rPr>
        <w:lastRenderedPageBreak/>
        <w:t>Costs associated with negotiating the use of safe dyes in direct and prolonged contact articles should already be being done in order to comply with the general provisions of the ACL. Other costs identified by suppliers may be seen as additional costs which are more likely to arise under the regulatory option.</w:t>
      </w:r>
    </w:p>
    <w:p w:rsidR="00AA6F25" w:rsidRDefault="00922714" w:rsidP="00AA6F25">
      <w:pPr>
        <w:spacing w:after="240"/>
        <w:rPr>
          <w:rFonts w:ascii="Arial" w:hAnsi="Arial" w:cs="Arial"/>
        </w:rPr>
      </w:pPr>
      <w:r>
        <w:rPr>
          <w:rFonts w:ascii="Arial" w:hAnsi="Arial" w:cs="Arial"/>
        </w:rPr>
        <w:t>Most</w:t>
      </w:r>
      <w:r w:rsidR="00AA6F25">
        <w:rPr>
          <w:rFonts w:ascii="Arial" w:hAnsi="Arial" w:cs="Arial"/>
        </w:rPr>
        <w:t xml:space="preserve"> suppliers already comply with the </w:t>
      </w:r>
      <w:r w:rsidR="00B7752F">
        <w:rPr>
          <w:rFonts w:ascii="Arial" w:hAnsi="Arial" w:cs="Arial"/>
        </w:rPr>
        <w:t>EU limits</w:t>
      </w:r>
      <w:r w:rsidR="00AA6F25">
        <w:rPr>
          <w:rFonts w:ascii="Arial" w:hAnsi="Arial" w:cs="Arial"/>
        </w:rPr>
        <w:t xml:space="preserve"> of less than 30</w:t>
      </w:r>
      <w:r w:rsidR="000A452C">
        <w:rPr>
          <w:rFonts w:ascii="Arial" w:hAnsi="Arial" w:cs="Arial"/>
        </w:rPr>
        <w:t> </w:t>
      </w:r>
      <w:r w:rsidR="00AA6F25">
        <w:rPr>
          <w:rFonts w:ascii="Arial" w:hAnsi="Arial" w:cs="Arial"/>
        </w:rPr>
        <w:t xml:space="preserve">mg/kg aromatic amines </w:t>
      </w:r>
      <w:r w:rsidR="00B7752F">
        <w:rPr>
          <w:rFonts w:ascii="Arial" w:hAnsi="Arial" w:cs="Arial"/>
        </w:rPr>
        <w:t>in direct and prolonged contact articles</w:t>
      </w:r>
      <w:r w:rsidR="00AA6F25">
        <w:rPr>
          <w:rFonts w:ascii="Arial" w:hAnsi="Arial" w:cs="Arial"/>
        </w:rPr>
        <w:t xml:space="preserve">. This </w:t>
      </w:r>
      <w:r w:rsidR="00B95657">
        <w:rPr>
          <w:rFonts w:ascii="Arial" w:hAnsi="Arial" w:cs="Arial"/>
        </w:rPr>
        <w:t>is</w:t>
      </w:r>
      <w:r w:rsidR="00AA6F25">
        <w:rPr>
          <w:rFonts w:ascii="Arial" w:hAnsi="Arial" w:cs="Arial"/>
        </w:rPr>
        <w:t xml:space="preserve"> achieved through commercial arrangements with suppliers of </w:t>
      </w:r>
      <w:r w:rsidR="00476827">
        <w:rPr>
          <w:rFonts w:ascii="Arial" w:hAnsi="Arial" w:cs="Arial"/>
        </w:rPr>
        <w:t>raw materials and manufacturers</w:t>
      </w:r>
      <w:r w:rsidR="00AA6F25">
        <w:rPr>
          <w:rFonts w:ascii="Arial" w:hAnsi="Arial" w:cs="Arial"/>
        </w:rPr>
        <w:t xml:space="preserve"> and materials testing at various points along the supply chain. These suppliers </w:t>
      </w:r>
      <w:r w:rsidR="00B95657">
        <w:rPr>
          <w:rFonts w:ascii="Arial" w:hAnsi="Arial" w:cs="Arial"/>
        </w:rPr>
        <w:t>have been</w:t>
      </w:r>
      <w:r w:rsidR="00AA6F25">
        <w:rPr>
          <w:rFonts w:ascii="Arial" w:hAnsi="Arial" w:cs="Arial"/>
        </w:rPr>
        <w:t xml:space="preserve"> able to provide </w:t>
      </w:r>
      <w:r w:rsidR="00B7752F">
        <w:rPr>
          <w:rFonts w:ascii="Arial" w:hAnsi="Arial" w:cs="Arial"/>
        </w:rPr>
        <w:t xml:space="preserve">limited </w:t>
      </w:r>
      <w:r w:rsidR="00AA6F25">
        <w:rPr>
          <w:rFonts w:ascii="Arial" w:hAnsi="Arial" w:cs="Arial"/>
        </w:rPr>
        <w:t>information about the cost of testing.</w:t>
      </w:r>
    </w:p>
    <w:p w:rsidR="00B95657" w:rsidRDefault="00B95657" w:rsidP="00B95657">
      <w:pPr>
        <w:spacing w:after="240"/>
        <w:rPr>
          <w:rFonts w:ascii="Arial" w:hAnsi="Arial" w:cs="Arial"/>
        </w:rPr>
      </w:pPr>
      <w:r>
        <w:rPr>
          <w:rFonts w:ascii="Arial" w:hAnsi="Arial" w:cs="Arial"/>
        </w:rPr>
        <w:t>Some suppliers also indicated they had increased the frequency of testing for aromatic amines in response to the detections in the ACCC’s chemical survey.</w:t>
      </w:r>
    </w:p>
    <w:p w:rsidR="00AA6F25" w:rsidRDefault="00AA6F25" w:rsidP="00AA6F25">
      <w:pPr>
        <w:spacing w:after="240"/>
        <w:rPr>
          <w:rFonts w:ascii="Arial" w:hAnsi="Arial" w:cs="Arial"/>
        </w:rPr>
      </w:pPr>
      <w:r>
        <w:rPr>
          <w:rFonts w:ascii="Arial" w:hAnsi="Arial" w:cs="Arial"/>
        </w:rPr>
        <w:t xml:space="preserve">Other suppliers </w:t>
      </w:r>
      <w:r w:rsidR="00B95657">
        <w:rPr>
          <w:rFonts w:ascii="Arial" w:hAnsi="Arial" w:cs="Arial"/>
        </w:rPr>
        <w:t>advised</w:t>
      </w:r>
      <w:r>
        <w:rPr>
          <w:rFonts w:ascii="Arial" w:hAnsi="Arial" w:cs="Arial"/>
        </w:rPr>
        <w:t xml:space="preserve"> that testing </w:t>
      </w:r>
      <w:r w:rsidR="00B95657">
        <w:rPr>
          <w:rFonts w:ascii="Arial" w:hAnsi="Arial" w:cs="Arial"/>
        </w:rPr>
        <w:t>is</w:t>
      </w:r>
      <w:r>
        <w:rPr>
          <w:rFonts w:ascii="Arial" w:hAnsi="Arial" w:cs="Arial"/>
        </w:rPr>
        <w:t xml:space="preserve"> not currently performed and that introduction of testing would be an additional </w:t>
      </w:r>
      <w:r w:rsidR="00B95657">
        <w:rPr>
          <w:rFonts w:ascii="Arial" w:hAnsi="Arial" w:cs="Arial"/>
        </w:rPr>
        <w:t xml:space="preserve">product </w:t>
      </w:r>
      <w:r>
        <w:rPr>
          <w:rFonts w:ascii="Arial" w:hAnsi="Arial" w:cs="Arial"/>
        </w:rPr>
        <w:t xml:space="preserve">stewardship cost. Some suppliers noted that the extent of </w:t>
      </w:r>
      <w:r w:rsidR="00B95657">
        <w:rPr>
          <w:rFonts w:ascii="Arial" w:hAnsi="Arial" w:cs="Arial"/>
        </w:rPr>
        <w:t xml:space="preserve">the </w:t>
      </w:r>
      <w:r>
        <w:rPr>
          <w:rFonts w:ascii="Arial" w:hAnsi="Arial" w:cs="Arial"/>
        </w:rPr>
        <w:t>additional cost would depend on the frequency of testing that was required.</w:t>
      </w:r>
    </w:p>
    <w:p w:rsidR="00AA6F25" w:rsidRDefault="00AA6F25" w:rsidP="00AA6F25">
      <w:pPr>
        <w:spacing w:after="240"/>
        <w:rPr>
          <w:rFonts w:ascii="Arial" w:hAnsi="Arial" w:cs="Arial"/>
        </w:rPr>
      </w:pPr>
      <w:r>
        <w:rPr>
          <w:rFonts w:ascii="Arial" w:hAnsi="Arial" w:cs="Arial"/>
        </w:rPr>
        <w:t xml:space="preserve">However, some of the costs immediately give rise to benefits. For example, testing for aromatic amines represents </w:t>
      </w:r>
      <w:r w:rsidRPr="00B7752F">
        <w:rPr>
          <w:rFonts w:ascii="Arial" w:hAnsi="Arial" w:cs="Arial"/>
        </w:rPr>
        <w:t>a</w:t>
      </w:r>
      <w:r w:rsidR="00386155" w:rsidRPr="00B7752F">
        <w:rPr>
          <w:rFonts w:ascii="Arial" w:hAnsi="Arial" w:cs="Arial"/>
        </w:rPr>
        <w:t>n up-front</w:t>
      </w:r>
      <w:r w:rsidRPr="00B7752F">
        <w:rPr>
          <w:rFonts w:ascii="Arial" w:hAnsi="Arial" w:cs="Arial"/>
        </w:rPr>
        <w:t xml:space="preserve"> cost to suppliers, but also a benefit to the same suppliers because the legal and reputational risks of discovery of supplied goods </w:t>
      </w:r>
      <w:r w:rsidR="00386155" w:rsidRPr="00B7752F">
        <w:rPr>
          <w:rFonts w:ascii="Arial" w:hAnsi="Arial" w:cs="Arial"/>
        </w:rPr>
        <w:t xml:space="preserve">containing </w:t>
      </w:r>
      <w:r w:rsidR="00902E60">
        <w:rPr>
          <w:rFonts w:ascii="Arial" w:hAnsi="Arial" w:cs="Arial"/>
        </w:rPr>
        <w:t xml:space="preserve">hazardous </w:t>
      </w:r>
      <w:r w:rsidR="00386155" w:rsidRPr="00B7752F">
        <w:rPr>
          <w:rFonts w:ascii="Arial" w:hAnsi="Arial" w:cs="Arial"/>
        </w:rPr>
        <w:t>azo dyes are avoided, together with avoiding the costs of voluntary recall action.</w:t>
      </w:r>
    </w:p>
    <w:p w:rsidR="00AA6F25" w:rsidRDefault="00AA6F25" w:rsidP="00AA6F25">
      <w:pPr>
        <w:spacing w:after="240"/>
        <w:rPr>
          <w:rFonts w:ascii="Arial" w:hAnsi="Arial" w:cs="Arial"/>
        </w:rPr>
      </w:pPr>
      <w:r>
        <w:rPr>
          <w:rFonts w:ascii="Arial" w:hAnsi="Arial" w:cs="Arial"/>
        </w:rPr>
        <w:t>The cost to government was determined using estimates of the cost of ACCC staff and testing that would be applicable under the three options.</w:t>
      </w:r>
    </w:p>
    <w:p w:rsidR="0043598B" w:rsidRDefault="0043598B" w:rsidP="00AA6F25">
      <w:pPr>
        <w:spacing w:after="240"/>
        <w:rPr>
          <w:rFonts w:ascii="Arial" w:hAnsi="Arial" w:cs="Arial"/>
        </w:rPr>
      </w:pPr>
      <w:r>
        <w:rPr>
          <w:rFonts w:ascii="Arial" w:hAnsi="Arial" w:cs="Arial"/>
        </w:rPr>
        <w:t>The costs and benefits for options 2 and 3 are considered against those for option 1 – maintaining the status quo.</w:t>
      </w:r>
    </w:p>
    <w:p w:rsidR="00AA6F25" w:rsidRPr="009278D5" w:rsidRDefault="00AA6F25" w:rsidP="009278D5">
      <w:pPr>
        <w:pStyle w:val="Heading2"/>
        <w:spacing w:after="240"/>
        <w:ind w:left="709" w:hanging="709"/>
        <w:rPr>
          <w:rFonts w:ascii="Arial" w:hAnsi="Arial" w:cs="Arial"/>
        </w:rPr>
      </w:pPr>
      <w:bookmarkStart w:id="98" w:name="_Toc412196640"/>
      <w:r w:rsidRPr="009278D5">
        <w:rPr>
          <w:rFonts w:ascii="Arial" w:hAnsi="Arial" w:cs="Arial"/>
        </w:rPr>
        <w:t>5.1</w:t>
      </w:r>
      <w:r w:rsidRPr="009278D5">
        <w:rPr>
          <w:rFonts w:ascii="Arial" w:hAnsi="Arial" w:cs="Arial"/>
        </w:rPr>
        <w:tab/>
        <w:t xml:space="preserve">Option 1: </w:t>
      </w:r>
      <w:r w:rsidR="00FE24E8">
        <w:rPr>
          <w:rFonts w:ascii="Arial" w:hAnsi="Arial" w:cs="Arial"/>
        </w:rPr>
        <w:t>Status quo</w:t>
      </w:r>
      <w:r w:rsidR="00391C2A">
        <w:rPr>
          <w:rFonts w:ascii="Arial" w:hAnsi="Arial" w:cs="Arial"/>
        </w:rPr>
        <w:t xml:space="preserve"> (</w:t>
      </w:r>
      <w:r w:rsidR="00B7752F" w:rsidRPr="00B7752F">
        <w:rPr>
          <w:rFonts w:ascii="Arial" w:hAnsi="Arial" w:cs="Arial"/>
        </w:rPr>
        <w:t xml:space="preserve">continued </w:t>
      </w:r>
      <w:r w:rsidR="00391C2A" w:rsidRPr="00B7209D">
        <w:rPr>
          <w:rFonts w:ascii="Arial" w:hAnsi="Arial" w:cs="Arial"/>
        </w:rPr>
        <w:t>industry self-regulation)</w:t>
      </w:r>
      <w:bookmarkEnd w:id="98"/>
    </w:p>
    <w:p w:rsidR="008C42D2" w:rsidRPr="008C42D2" w:rsidRDefault="00B95657" w:rsidP="00AA6F25">
      <w:pPr>
        <w:spacing w:after="240"/>
        <w:rPr>
          <w:rFonts w:ascii="Arial" w:hAnsi="Arial" w:cs="Arial"/>
        </w:rPr>
      </w:pPr>
      <w:r>
        <w:rPr>
          <w:rFonts w:ascii="Arial" w:hAnsi="Arial" w:cs="Arial"/>
        </w:rPr>
        <w:t>Option 1 represents the ‘</w:t>
      </w:r>
      <w:r w:rsidR="008C42D2" w:rsidRPr="008C42D2">
        <w:rPr>
          <w:rFonts w:ascii="Arial" w:hAnsi="Arial" w:cs="Arial"/>
        </w:rPr>
        <w:t>status quo</w:t>
      </w:r>
      <w:r>
        <w:rPr>
          <w:rFonts w:ascii="Arial" w:hAnsi="Arial" w:cs="Arial"/>
        </w:rPr>
        <w:t>’</w:t>
      </w:r>
      <w:r w:rsidR="008C42D2" w:rsidRPr="008C42D2">
        <w:rPr>
          <w:rFonts w:ascii="Arial" w:hAnsi="Arial" w:cs="Arial"/>
        </w:rPr>
        <w:t xml:space="preserve"> option against which the benefits and costs of the other options are measured.</w:t>
      </w:r>
    </w:p>
    <w:p w:rsidR="00AA6F25" w:rsidRPr="00690F06" w:rsidRDefault="00AA6F25" w:rsidP="00AA6F25">
      <w:pPr>
        <w:spacing w:after="240"/>
        <w:rPr>
          <w:rFonts w:ascii="Arial" w:hAnsi="Arial" w:cs="Arial"/>
          <w:b/>
          <w:i/>
        </w:rPr>
      </w:pPr>
      <w:r w:rsidRPr="00690F06">
        <w:rPr>
          <w:rFonts w:ascii="Arial" w:hAnsi="Arial" w:cs="Arial"/>
          <w:b/>
          <w:i/>
        </w:rPr>
        <w:t>Benefits</w:t>
      </w:r>
    </w:p>
    <w:p w:rsidR="00F83829" w:rsidRDefault="004D711D" w:rsidP="003273F8">
      <w:pPr>
        <w:spacing w:after="240"/>
        <w:rPr>
          <w:rFonts w:ascii="Arial" w:hAnsi="Arial" w:cs="Arial"/>
        </w:rPr>
      </w:pPr>
      <w:r>
        <w:rPr>
          <w:rFonts w:ascii="Arial" w:hAnsi="Arial" w:cs="Arial"/>
        </w:rPr>
        <w:t xml:space="preserve">Publishing </w:t>
      </w:r>
      <w:proofErr w:type="spellStart"/>
      <w:r w:rsidR="00CA7398">
        <w:rPr>
          <w:rFonts w:ascii="Arial" w:hAnsi="Arial" w:cs="Arial"/>
        </w:rPr>
        <w:t>SCoC</w:t>
      </w:r>
      <w:proofErr w:type="spellEnd"/>
      <w:r w:rsidR="008B2414">
        <w:rPr>
          <w:rFonts w:ascii="Arial" w:hAnsi="Arial" w:cs="Arial"/>
        </w:rPr>
        <w:t xml:space="preserve"> based on the best available scientific evidence in a clear and concise format </w:t>
      </w:r>
      <w:r w:rsidR="00F83829">
        <w:rPr>
          <w:rFonts w:ascii="Arial" w:hAnsi="Arial" w:cs="Arial"/>
        </w:rPr>
        <w:t xml:space="preserve">on the </w:t>
      </w:r>
      <w:r w:rsidR="00CA7398">
        <w:rPr>
          <w:rFonts w:ascii="Arial" w:hAnsi="Arial" w:cs="Arial"/>
        </w:rPr>
        <w:t>P</w:t>
      </w:r>
      <w:r w:rsidR="00F83829">
        <w:rPr>
          <w:rFonts w:ascii="Arial" w:hAnsi="Arial" w:cs="Arial"/>
        </w:rPr>
        <w:t xml:space="preserve">roduct Safety Australia website </w:t>
      </w:r>
      <w:r w:rsidR="004954B8">
        <w:rPr>
          <w:rFonts w:ascii="Arial" w:hAnsi="Arial" w:cs="Arial"/>
        </w:rPr>
        <w:t xml:space="preserve">has made them visible to both suppliers and consumers. </w:t>
      </w:r>
      <w:r w:rsidR="0022658E">
        <w:rPr>
          <w:rFonts w:ascii="Arial" w:hAnsi="Arial" w:cs="Arial"/>
        </w:rPr>
        <w:t xml:space="preserve">This </w:t>
      </w:r>
      <w:r w:rsidR="00F83829">
        <w:rPr>
          <w:rFonts w:ascii="Arial" w:hAnsi="Arial" w:cs="Arial"/>
        </w:rPr>
        <w:t xml:space="preserve">has enabled </w:t>
      </w:r>
      <w:r w:rsidR="00F83829" w:rsidRPr="00690F06">
        <w:rPr>
          <w:rFonts w:ascii="Arial" w:hAnsi="Arial" w:cs="Arial"/>
        </w:rPr>
        <w:t xml:space="preserve">Australian suppliers to </w:t>
      </w:r>
      <w:r w:rsidR="003273F8">
        <w:rPr>
          <w:rFonts w:ascii="Arial" w:hAnsi="Arial" w:cs="Arial"/>
        </w:rPr>
        <w:t xml:space="preserve">direct </w:t>
      </w:r>
      <w:r w:rsidR="00F83829" w:rsidRPr="00690F06">
        <w:rPr>
          <w:rFonts w:ascii="Arial" w:hAnsi="Arial" w:cs="Arial"/>
        </w:rPr>
        <w:t>overseas suppliers</w:t>
      </w:r>
      <w:r w:rsidR="00F83829">
        <w:rPr>
          <w:rFonts w:ascii="Arial" w:hAnsi="Arial" w:cs="Arial"/>
        </w:rPr>
        <w:t>,</w:t>
      </w:r>
      <w:r w:rsidR="00F83829" w:rsidRPr="00690F06">
        <w:rPr>
          <w:rFonts w:ascii="Arial" w:hAnsi="Arial" w:cs="Arial"/>
        </w:rPr>
        <w:t xml:space="preserve"> manufacturers </w:t>
      </w:r>
      <w:r w:rsidR="00F83829">
        <w:rPr>
          <w:rFonts w:ascii="Arial" w:hAnsi="Arial" w:cs="Arial"/>
        </w:rPr>
        <w:t xml:space="preserve">and intermediaries </w:t>
      </w:r>
      <w:r w:rsidR="00F83829" w:rsidRPr="00690F06">
        <w:rPr>
          <w:rFonts w:ascii="Arial" w:hAnsi="Arial" w:cs="Arial"/>
        </w:rPr>
        <w:t>to information to help them understand Australia</w:t>
      </w:r>
      <w:r w:rsidR="00F83829">
        <w:rPr>
          <w:rFonts w:ascii="Arial" w:hAnsi="Arial" w:cs="Arial"/>
        </w:rPr>
        <w:t>n</w:t>
      </w:r>
      <w:r w:rsidR="00F83829" w:rsidRPr="00690F06">
        <w:rPr>
          <w:rFonts w:ascii="Arial" w:hAnsi="Arial" w:cs="Arial"/>
        </w:rPr>
        <w:t xml:space="preserve"> </w:t>
      </w:r>
      <w:r w:rsidR="00F83829">
        <w:rPr>
          <w:rFonts w:ascii="Arial" w:hAnsi="Arial" w:cs="Arial"/>
        </w:rPr>
        <w:t>expectations</w:t>
      </w:r>
      <w:r w:rsidR="003273F8">
        <w:rPr>
          <w:rFonts w:ascii="Arial" w:hAnsi="Arial" w:cs="Arial"/>
        </w:rPr>
        <w:t xml:space="preserve">, it avoids search costs for manufacturers wishing to distribute products in Australia and it references </w:t>
      </w:r>
      <w:r w:rsidR="00F83829">
        <w:rPr>
          <w:rFonts w:ascii="Arial" w:hAnsi="Arial" w:cs="Arial"/>
        </w:rPr>
        <w:t xml:space="preserve">an internationally accepted and familiar limit. </w:t>
      </w:r>
    </w:p>
    <w:p w:rsidR="003A79A8" w:rsidRDefault="00F83829" w:rsidP="00F83829">
      <w:pPr>
        <w:spacing w:after="240"/>
        <w:rPr>
          <w:rFonts w:ascii="Arial" w:hAnsi="Arial" w:cs="Arial"/>
        </w:rPr>
      </w:pPr>
      <w:r w:rsidRPr="00690F06">
        <w:rPr>
          <w:rFonts w:ascii="Arial" w:hAnsi="Arial" w:cs="Arial"/>
        </w:rPr>
        <w:t>Suppliers are ultimately responsible for the safety of products they supply</w:t>
      </w:r>
      <w:r>
        <w:rPr>
          <w:rFonts w:ascii="Arial" w:hAnsi="Arial" w:cs="Arial"/>
        </w:rPr>
        <w:t>.</w:t>
      </w:r>
      <w:r w:rsidRPr="00690F06">
        <w:rPr>
          <w:rFonts w:ascii="Arial" w:hAnsi="Arial" w:cs="Arial"/>
        </w:rPr>
        <w:t xml:space="preserve"> </w:t>
      </w:r>
      <w:r>
        <w:rPr>
          <w:rFonts w:ascii="Arial" w:hAnsi="Arial" w:cs="Arial"/>
        </w:rPr>
        <w:t>The publication of a</w:t>
      </w:r>
      <w:r w:rsidR="00CA7398">
        <w:rPr>
          <w:rFonts w:ascii="Arial" w:hAnsi="Arial" w:cs="Arial"/>
        </w:rPr>
        <w:t xml:space="preserve"> </w:t>
      </w:r>
      <w:proofErr w:type="spellStart"/>
      <w:r w:rsidR="00CA7398">
        <w:rPr>
          <w:rFonts w:ascii="Arial" w:hAnsi="Arial" w:cs="Arial"/>
        </w:rPr>
        <w:t>SCoC</w:t>
      </w:r>
      <w:proofErr w:type="spellEnd"/>
      <w:r>
        <w:rPr>
          <w:rFonts w:ascii="Arial" w:hAnsi="Arial" w:cs="Arial"/>
        </w:rPr>
        <w:t xml:space="preserve"> remind</w:t>
      </w:r>
      <w:r w:rsidR="00CA39ED">
        <w:rPr>
          <w:rFonts w:ascii="Arial" w:hAnsi="Arial" w:cs="Arial"/>
        </w:rPr>
        <w:t>s</w:t>
      </w:r>
      <w:r>
        <w:rPr>
          <w:rFonts w:ascii="Arial" w:hAnsi="Arial" w:cs="Arial"/>
        </w:rPr>
        <w:t xml:space="preserve"> suppliers of their</w:t>
      </w:r>
      <w:r w:rsidRPr="00690F06">
        <w:rPr>
          <w:rFonts w:ascii="Arial" w:hAnsi="Arial" w:cs="Arial"/>
        </w:rPr>
        <w:t xml:space="preserve"> responsibilities and </w:t>
      </w:r>
      <w:r>
        <w:rPr>
          <w:rFonts w:ascii="Arial" w:hAnsi="Arial" w:cs="Arial"/>
        </w:rPr>
        <w:t>encourage</w:t>
      </w:r>
      <w:r w:rsidR="00CA39ED">
        <w:rPr>
          <w:rFonts w:ascii="Arial" w:hAnsi="Arial" w:cs="Arial"/>
        </w:rPr>
        <w:t>s</w:t>
      </w:r>
      <w:r w:rsidRPr="00690F06">
        <w:rPr>
          <w:rFonts w:ascii="Arial" w:hAnsi="Arial" w:cs="Arial"/>
        </w:rPr>
        <w:t xml:space="preserve"> them to </w:t>
      </w:r>
      <w:r w:rsidR="00CA7398">
        <w:rPr>
          <w:rFonts w:ascii="Arial" w:hAnsi="Arial" w:cs="Arial"/>
        </w:rPr>
        <w:t>supply</w:t>
      </w:r>
      <w:r w:rsidRPr="00690F06">
        <w:rPr>
          <w:rFonts w:ascii="Arial" w:hAnsi="Arial" w:cs="Arial"/>
        </w:rPr>
        <w:t xml:space="preserve"> safe goods</w:t>
      </w:r>
      <w:r w:rsidR="00B7752F">
        <w:rPr>
          <w:rFonts w:ascii="Arial" w:hAnsi="Arial" w:cs="Arial"/>
        </w:rPr>
        <w:t xml:space="preserve"> consistent with the requirements under the general provisions of the ACL</w:t>
      </w:r>
      <w:r>
        <w:rPr>
          <w:rFonts w:ascii="Arial" w:hAnsi="Arial" w:cs="Arial"/>
        </w:rPr>
        <w:t>.</w:t>
      </w:r>
      <w:r w:rsidRPr="00566999">
        <w:rPr>
          <w:rFonts w:ascii="Arial" w:hAnsi="Arial" w:cs="Arial"/>
        </w:rPr>
        <w:t xml:space="preserve"> </w:t>
      </w:r>
      <w:r w:rsidRPr="004E70D1">
        <w:rPr>
          <w:rFonts w:ascii="Arial" w:hAnsi="Arial" w:cs="Arial"/>
        </w:rPr>
        <w:t xml:space="preserve">The ACCC has evidence that </w:t>
      </w:r>
      <w:r w:rsidR="002F40D0" w:rsidRPr="00B7209D">
        <w:rPr>
          <w:rFonts w:ascii="Arial" w:hAnsi="Arial" w:cs="Arial"/>
        </w:rPr>
        <w:t>suppliers of clothing and textile products are</w:t>
      </w:r>
      <w:r w:rsidRPr="004E70D1">
        <w:rPr>
          <w:rFonts w:ascii="Arial" w:hAnsi="Arial" w:cs="Arial"/>
        </w:rPr>
        <w:t xml:space="preserve"> inclined to supp</w:t>
      </w:r>
      <w:r>
        <w:rPr>
          <w:rFonts w:ascii="Arial" w:hAnsi="Arial" w:cs="Arial"/>
        </w:rPr>
        <w:t xml:space="preserve">ort published </w:t>
      </w:r>
      <w:proofErr w:type="spellStart"/>
      <w:r w:rsidR="00CA7398">
        <w:rPr>
          <w:rFonts w:ascii="Arial" w:hAnsi="Arial" w:cs="Arial"/>
        </w:rPr>
        <w:t>SCoC</w:t>
      </w:r>
      <w:proofErr w:type="spellEnd"/>
      <w:r w:rsidR="002F40D0">
        <w:rPr>
          <w:rFonts w:ascii="Arial" w:hAnsi="Arial" w:cs="Arial"/>
        </w:rPr>
        <w:t>.</w:t>
      </w:r>
      <w:r>
        <w:rPr>
          <w:rFonts w:ascii="Arial" w:hAnsi="Arial" w:cs="Arial"/>
        </w:rPr>
        <w:t xml:space="preserve"> </w:t>
      </w:r>
    </w:p>
    <w:p w:rsidR="00F83829" w:rsidRDefault="00F83829" w:rsidP="00F83829">
      <w:pPr>
        <w:spacing w:after="240"/>
        <w:rPr>
          <w:rFonts w:ascii="Arial" w:hAnsi="Arial" w:cs="Arial"/>
        </w:rPr>
      </w:pPr>
      <w:r w:rsidRPr="00690F06">
        <w:rPr>
          <w:rFonts w:ascii="Arial" w:hAnsi="Arial" w:cs="Arial"/>
        </w:rPr>
        <w:t xml:space="preserve">As well as assisting industry, consumers </w:t>
      </w:r>
      <w:r>
        <w:rPr>
          <w:rFonts w:ascii="Arial" w:hAnsi="Arial" w:cs="Arial"/>
        </w:rPr>
        <w:t xml:space="preserve">who are aware of the </w:t>
      </w:r>
      <w:r w:rsidR="00CA7398">
        <w:rPr>
          <w:rFonts w:ascii="Arial" w:hAnsi="Arial" w:cs="Arial"/>
        </w:rPr>
        <w:t>SCOC</w:t>
      </w:r>
      <w:r>
        <w:rPr>
          <w:rFonts w:ascii="Arial" w:hAnsi="Arial" w:cs="Arial"/>
        </w:rPr>
        <w:t xml:space="preserve"> </w:t>
      </w:r>
      <w:r w:rsidR="003A79A8">
        <w:rPr>
          <w:rFonts w:ascii="Arial" w:hAnsi="Arial" w:cs="Arial"/>
        </w:rPr>
        <w:t xml:space="preserve">will be able </w:t>
      </w:r>
      <w:r w:rsidRPr="00690F06">
        <w:rPr>
          <w:rFonts w:ascii="Arial" w:hAnsi="Arial" w:cs="Arial"/>
        </w:rPr>
        <w:t>to ask suppliers for assurances that direct and prolonged contact articles of interest have not been dyed with hazardous azo dyes.</w:t>
      </w:r>
      <w:r>
        <w:rPr>
          <w:rFonts w:ascii="Arial" w:hAnsi="Arial" w:cs="Arial"/>
        </w:rPr>
        <w:t xml:space="preserve"> </w:t>
      </w:r>
    </w:p>
    <w:p w:rsidR="008D51BC" w:rsidRDefault="00391C2A" w:rsidP="008D51BC">
      <w:pPr>
        <w:spacing w:after="240"/>
        <w:rPr>
          <w:rFonts w:ascii="Arial" w:hAnsi="Arial" w:cs="Arial"/>
        </w:rPr>
      </w:pPr>
      <w:r>
        <w:rPr>
          <w:rFonts w:ascii="Arial" w:hAnsi="Arial" w:cs="Arial"/>
        </w:rPr>
        <w:lastRenderedPageBreak/>
        <w:t xml:space="preserve">This option </w:t>
      </w:r>
      <w:r w:rsidR="004954B8">
        <w:rPr>
          <w:rFonts w:ascii="Arial" w:hAnsi="Arial" w:cs="Arial"/>
        </w:rPr>
        <w:t>does not create additional</w:t>
      </w:r>
      <w:r>
        <w:rPr>
          <w:rFonts w:ascii="Arial" w:hAnsi="Arial" w:cs="Arial"/>
        </w:rPr>
        <w:t xml:space="preserve"> regulatory costs </w:t>
      </w:r>
      <w:r w:rsidR="008D51BC">
        <w:rPr>
          <w:rFonts w:ascii="Arial" w:hAnsi="Arial" w:cs="Arial"/>
        </w:rPr>
        <w:t xml:space="preserve">for suppliers and government in circumstances where </w:t>
      </w:r>
      <w:r w:rsidRPr="00690F06">
        <w:rPr>
          <w:rFonts w:ascii="Arial" w:hAnsi="Arial" w:cs="Arial"/>
        </w:rPr>
        <w:t xml:space="preserve">the manufacture </w:t>
      </w:r>
      <w:r w:rsidR="008D51BC">
        <w:rPr>
          <w:rFonts w:ascii="Arial" w:hAnsi="Arial" w:cs="Arial"/>
        </w:rPr>
        <w:t xml:space="preserve">and use </w:t>
      </w:r>
      <w:r w:rsidRPr="00690F06">
        <w:rPr>
          <w:rFonts w:ascii="Arial" w:hAnsi="Arial" w:cs="Arial"/>
        </w:rPr>
        <w:t xml:space="preserve">of hazardous azo dyes </w:t>
      </w:r>
      <w:r w:rsidR="008D51BC">
        <w:rPr>
          <w:rFonts w:ascii="Arial" w:hAnsi="Arial" w:cs="Arial"/>
        </w:rPr>
        <w:t>appears to be</w:t>
      </w:r>
      <w:r w:rsidRPr="00690F06">
        <w:rPr>
          <w:rFonts w:ascii="Arial" w:hAnsi="Arial" w:cs="Arial"/>
        </w:rPr>
        <w:t xml:space="preserve"> in decline</w:t>
      </w:r>
      <w:r w:rsidR="008D51BC">
        <w:rPr>
          <w:rFonts w:ascii="Arial" w:hAnsi="Arial" w:cs="Arial"/>
        </w:rPr>
        <w:t xml:space="preserve"> and </w:t>
      </w:r>
      <w:r w:rsidRPr="00690F06">
        <w:rPr>
          <w:rFonts w:ascii="Arial" w:hAnsi="Arial" w:cs="Arial"/>
        </w:rPr>
        <w:t xml:space="preserve">the problem may </w:t>
      </w:r>
      <w:r w:rsidR="008D51BC">
        <w:rPr>
          <w:rFonts w:ascii="Arial" w:hAnsi="Arial" w:cs="Arial"/>
        </w:rPr>
        <w:t>therefore be</w:t>
      </w:r>
      <w:r w:rsidRPr="00690F06">
        <w:rPr>
          <w:rFonts w:ascii="Arial" w:hAnsi="Arial" w:cs="Arial"/>
        </w:rPr>
        <w:t xml:space="preserve"> resolved within a reasonable period</w:t>
      </w:r>
      <w:r w:rsidR="008D51BC">
        <w:rPr>
          <w:rFonts w:ascii="Arial" w:hAnsi="Arial" w:cs="Arial"/>
        </w:rPr>
        <w:t>.</w:t>
      </w:r>
    </w:p>
    <w:p w:rsidR="00AA6F25" w:rsidRDefault="00AA6F25" w:rsidP="00AA6F25">
      <w:pPr>
        <w:spacing w:after="240"/>
        <w:rPr>
          <w:rFonts w:ascii="Arial" w:hAnsi="Arial" w:cs="Arial"/>
        </w:rPr>
      </w:pPr>
      <w:r w:rsidRPr="00690F06">
        <w:rPr>
          <w:rFonts w:ascii="Arial" w:hAnsi="Arial" w:cs="Arial"/>
          <w:b/>
          <w:i/>
        </w:rPr>
        <w:t>Costs</w:t>
      </w:r>
    </w:p>
    <w:p w:rsidR="00F13826" w:rsidRPr="00690F06" w:rsidRDefault="00F13826" w:rsidP="00F13826">
      <w:pPr>
        <w:spacing w:after="240"/>
        <w:rPr>
          <w:rFonts w:ascii="Arial" w:hAnsi="Arial" w:cs="Arial"/>
        </w:rPr>
      </w:pPr>
      <w:r>
        <w:rPr>
          <w:rFonts w:ascii="Arial" w:hAnsi="Arial" w:cs="Arial"/>
        </w:rPr>
        <w:t>The ACCC is aware that the</w:t>
      </w:r>
      <w:r w:rsidRPr="00690F06">
        <w:rPr>
          <w:rFonts w:ascii="Arial" w:hAnsi="Arial" w:cs="Arial"/>
        </w:rPr>
        <w:t xml:space="preserve"> extent of supplier </w:t>
      </w:r>
      <w:r>
        <w:rPr>
          <w:rFonts w:ascii="Arial" w:hAnsi="Arial" w:cs="Arial"/>
        </w:rPr>
        <w:t>efforts to reduce consumer exposure to hazardous azo dyes is variable, even among those that are aware of the potential health risks from these chemicals</w:t>
      </w:r>
      <w:r w:rsidRPr="00690F06">
        <w:rPr>
          <w:rFonts w:ascii="Arial" w:hAnsi="Arial" w:cs="Arial"/>
        </w:rPr>
        <w:t xml:space="preserve">. While some suppliers </w:t>
      </w:r>
      <w:r w:rsidR="00383005">
        <w:rPr>
          <w:rFonts w:ascii="Arial" w:hAnsi="Arial" w:cs="Arial"/>
        </w:rPr>
        <w:t>indicate they</w:t>
      </w:r>
      <w:r w:rsidRPr="00690F06">
        <w:rPr>
          <w:rFonts w:ascii="Arial" w:hAnsi="Arial" w:cs="Arial"/>
        </w:rPr>
        <w:t xml:space="preserve"> conduct finished product testing, others rely on statements of compliance by manufacturers (or sourcing agents) and do not commission their own compliance testing.</w:t>
      </w:r>
    </w:p>
    <w:p w:rsidR="00713F47" w:rsidRDefault="00AA6F25" w:rsidP="00713F47">
      <w:pPr>
        <w:spacing w:after="240"/>
        <w:rPr>
          <w:rFonts w:ascii="Arial" w:hAnsi="Arial" w:cs="Arial"/>
        </w:rPr>
      </w:pPr>
      <w:r>
        <w:rPr>
          <w:rFonts w:ascii="Arial" w:hAnsi="Arial" w:cs="Arial"/>
        </w:rPr>
        <w:t xml:space="preserve">Continued industry self-regulation </w:t>
      </w:r>
      <w:r w:rsidR="00920F99">
        <w:rPr>
          <w:rFonts w:ascii="Arial" w:hAnsi="Arial" w:cs="Arial"/>
        </w:rPr>
        <w:t>may not</w:t>
      </w:r>
      <w:r w:rsidR="003B47E4">
        <w:rPr>
          <w:rFonts w:ascii="Arial" w:hAnsi="Arial" w:cs="Arial"/>
        </w:rPr>
        <w:t xml:space="preserve"> </w:t>
      </w:r>
      <w:r>
        <w:rPr>
          <w:rFonts w:ascii="Arial" w:hAnsi="Arial" w:cs="Arial"/>
        </w:rPr>
        <w:t xml:space="preserve">result in </w:t>
      </w:r>
      <w:r w:rsidR="003B47E4">
        <w:rPr>
          <w:rFonts w:ascii="Arial" w:hAnsi="Arial" w:cs="Arial"/>
        </w:rPr>
        <w:t>any</w:t>
      </w:r>
      <w:r>
        <w:rPr>
          <w:rFonts w:ascii="Arial" w:hAnsi="Arial" w:cs="Arial"/>
        </w:rPr>
        <w:t xml:space="preserve"> </w:t>
      </w:r>
      <w:r w:rsidR="00114242">
        <w:rPr>
          <w:rFonts w:ascii="Arial" w:hAnsi="Arial" w:cs="Arial"/>
        </w:rPr>
        <w:t xml:space="preserve">significant </w:t>
      </w:r>
      <w:r>
        <w:rPr>
          <w:rFonts w:ascii="Arial" w:hAnsi="Arial" w:cs="Arial"/>
        </w:rPr>
        <w:t xml:space="preserve">change </w:t>
      </w:r>
      <w:r w:rsidR="003B47E4">
        <w:rPr>
          <w:rFonts w:ascii="Arial" w:hAnsi="Arial" w:cs="Arial"/>
        </w:rPr>
        <w:t>in</w:t>
      </w:r>
      <w:r>
        <w:rPr>
          <w:rFonts w:ascii="Arial" w:hAnsi="Arial" w:cs="Arial"/>
        </w:rPr>
        <w:t xml:space="preserve"> the </w:t>
      </w:r>
      <w:r w:rsidR="00C4783D">
        <w:rPr>
          <w:rFonts w:ascii="Arial" w:hAnsi="Arial" w:cs="Arial"/>
        </w:rPr>
        <w:t>presence of hazardous azo dyes in clothing and textile products made available to Australian consumers.</w:t>
      </w:r>
      <w:r w:rsidR="00E91E1D">
        <w:rPr>
          <w:rFonts w:ascii="Arial" w:hAnsi="Arial" w:cs="Arial"/>
        </w:rPr>
        <w:t xml:space="preserve"> </w:t>
      </w:r>
      <w:r>
        <w:rPr>
          <w:rFonts w:ascii="Arial" w:hAnsi="Arial" w:cs="Arial"/>
        </w:rPr>
        <w:t xml:space="preserve">Given that the ACCC’s survey detected </w:t>
      </w:r>
      <w:r w:rsidR="004E70D1">
        <w:rPr>
          <w:rFonts w:ascii="Arial" w:hAnsi="Arial" w:cs="Arial"/>
        </w:rPr>
        <w:t xml:space="preserve">hazardous </w:t>
      </w:r>
      <w:r>
        <w:rPr>
          <w:rFonts w:ascii="Arial" w:hAnsi="Arial" w:cs="Arial"/>
        </w:rPr>
        <w:t xml:space="preserve">aromatic amines </w:t>
      </w:r>
      <w:r w:rsidR="00E91E1D">
        <w:rPr>
          <w:rFonts w:ascii="Arial" w:hAnsi="Arial" w:cs="Arial"/>
        </w:rPr>
        <w:t>in three out of every 100 products tested</w:t>
      </w:r>
      <w:r>
        <w:rPr>
          <w:rFonts w:ascii="Arial" w:hAnsi="Arial" w:cs="Arial"/>
        </w:rPr>
        <w:t xml:space="preserve">, </w:t>
      </w:r>
      <w:r w:rsidR="00713F47">
        <w:rPr>
          <w:rFonts w:ascii="Arial" w:hAnsi="Arial" w:cs="Arial"/>
        </w:rPr>
        <w:t>t</w:t>
      </w:r>
      <w:r w:rsidR="00713F47" w:rsidRPr="00690F06">
        <w:rPr>
          <w:rFonts w:ascii="Arial" w:hAnsi="Arial" w:cs="Arial"/>
        </w:rPr>
        <w:t xml:space="preserve">he cost to consumers </w:t>
      </w:r>
      <w:r w:rsidR="00713F47">
        <w:rPr>
          <w:rFonts w:ascii="Arial" w:hAnsi="Arial" w:cs="Arial"/>
        </w:rPr>
        <w:t xml:space="preserve">of this option </w:t>
      </w:r>
      <w:r w:rsidR="00713F47" w:rsidRPr="00690F06">
        <w:rPr>
          <w:rFonts w:ascii="Arial" w:hAnsi="Arial" w:cs="Arial"/>
        </w:rPr>
        <w:t>is the continu</w:t>
      </w:r>
      <w:r w:rsidR="00713F47">
        <w:rPr>
          <w:rFonts w:ascii="Arial" w:hAnsi="Arial" w:cs="Arial"/>
        </w:rPr>
        <w:t>ing</w:t>
      </w:r>
      <w:r w:rsidR="00713F47" w:rsidRPr="00690F06">
        <w:rPr>
          <w:rFonts w:ascii="Arial" w:hAnsi="Arial" w:cs="Arial"/>
        </w:rPr>
        <w:t xml:space="preserve"> prospect of exposure to hazardous</w:t>
      </w:r>
      <w:r w:rsidR="00CA7398">
        <w:rPr>
          <w:rFonts w:ascii="Arial" w:hAnsi="Arial" w:cs="Arial"/>
        </w:rPr>
        <w:t xml:space="preserve"> azo dyes and their</w:t>
      </w:r>
      <w:r w:rsidR="00713F47" w:rsidRPr="00690F06">
        <w:rPr>
          <w:rFonts w:ascii="Arial" w:hAnsi="Arial" w:cs="Arial"/>
        </w:rPr>
        <w:t xml:space="preserve"> aromatic amines </w:t>
      </w:r>
      <w:r w:rsidR="004E70D1">
        <w:rPr>
          <w:rFonts w:ascii="Arial" w:hAnsi="Arial" w:cs="Arial"/>
        </w:rPr>
        <w:t>via</w:t>
      </w:r>
      <w:r w:rsidR="00713F47" w:rsidRPr="00690F06">
        <w:rPr>
          <w:rFonts w:ascii="Arial" w:hAnsi="Arial" w:cs="Arial"/>
        </w:rPr>
        <w:t xml:space="preserve"> direct and prolonged contact articles, particularly if recent detection</w:t>
      </w:r>
      <w:r w:rsidR="00713F47">
        <w:rPr>
          <w:rFonts w:ascii="Arial" w:hAnsi="Arial" w:cs="Arial"/>
        </w:rPr>
        <w:t xml:space="preserve"> level</w:t>
      </w:r>
      <w:r w:rsidR="00713F47" w:rsidRPr="00690F06">
        <w:rPr>
          <w:rFonts w:ascii="Arial" w:hAnsi="Arial" w:cs="Arial"/>
        </w:rPr>
        <w:t xml:space="preserve">s </w:t>
      </w:r>
      <w:r w:rsidR="00713F47">
        <w:rPr>
          <w:rFonts w:ascii="Arial" w:hAnsi="Arial" w:cs="Arial"/>
        </w:rPr>
        <w:t>remain constant</w:t>
      </w:r>
      <w:r w:rsidR="00713F47" w:rsidRPr="00690F06">
        <w:rPr>
          <w:rFonts w:ascii="Arial" w:hAnsi="Arial" w:cs="Arial"/>
        </w:rPr>
        <w:t>.</w:t>
      </w:r>
    </w:p>
    <w:p w:rsidR="00EE3A0D" w:rsidRDefault="00EE3A0D" w:rsidP="00EE3A0D">
      <w:pPr>
        <w:spacing w:after="240"/>
        <w:rPr>
          <w:rFonts w:ascii="Arial" w:hAnsi="Arial" w:cs="Arial"/>
        </w:rPr>
      </w:pPr>
      <w:r>
        <w:rPr>
          <w:rFonts w:ascii="Arial" w:hAnsi="Arial" w:cs="Arial"/>
        </w:rPr>
        <w:t>The</w:t>
      </w:r>
      <w:r w:rsidRPr="00690F06">
        <w:rPr>
          <w:rFonts w:ascii="Arial" w:hAnsi="Arial" w:cs="Arial"/>
        </w:rPr>
        <w:t xml:space="preserve"> effectiveness of this option in addressing the problem </w:t>
      </w:r>
      <w:r>
        <w:rPr>
          <w:rFonts w:ascii="Arial" w:hAnsi="Arial" w:cs="Arial"/>
        </w:rPr>
        <w:t>of exposure relies</w:t>
      </w:r>
      <w:r w:rsidRPr="00690F06">
        <w:rPr>
          <w:rFonts w:ascii="Arial" w:hAnsi="Arial" w:cs="Arial"/>
        </w:rPr>
        <w:t xml:space="preserve"> on </w:t>
      </w:r>
      <w:r>
        <w:rPr>
          <w:rFonts w:ascii="Arial" w:hAnsi="Arial" w:cs="Arial"/>
        </w:rPr>
        <w:t>an</w:t>
      </w:r>
      <w:r w:rsidRPr="00690F06">
        <w:rPr>
          <w:rFonts w:ascii="Arial" w:hAnsi="Arial" w:cs="Arial"/>
        </w:rPr>
        <w:t xml:space="preserve"> </w:t>
      </w:r>
      <w:r>
        <w:rPr>
          <w:rFonts w:ascii="Arial" w:hAnsi="Arial" w:cs="Arial"/>
        </w:rPr>
        <w:t xml:space="preserve">ongoing voluntary effort by suppliers </w:t>
      </w:r>
      <w:r w:rsidR="00920F99">
        <w:rPr>
          <w:rFonts w:ascii="Arial" w:hAnsi="Arial" w:cs="Arial"/>
        </w:rPr>
        <w:t>to conduct</w:t>
      </w:r>
      <w:r>
        <w:rPr>
          <w:rFonts w:ascii="Arial" w:hAnsi="Arial" w:cs="Arial"/>
        </w:rPr>
        <w:t xml:space="preserve"> supply chain monitoring and continuous testing to detect dye substitution, without government involvement. The ACCC has not been able to establish whether self-regulation through supply chain checking and testing is likely to be industry-wide </w:t>
      </w:r>
      <w:r w:rsidR="00476827">
        <w:rPr>
          <w:rFonts w:ascii="Arial" w:hAnsi="Arial" w:cs="Arial"/>
        </w:rPr>
        <w:t>or</w:t>
      </w:r>
      <w:r>
        <w:rPr>
          <w:rFonts w:ascii="Arial" w:hAnsi="Arial" w:cs="Arial"/>
        </w:rPr>
        <w:t xml:space="preserve"> enduring.</w:t>
      </w:r>
    </w:p>
    <w:p w:rsidR="007C7279" w:rsidRPr="007C7279" w:rsidRDefault="007C7279" w:rsidP="007C7279">
      <w:pPr>
        <w:spacing w:after="240"/>
        <w:rPr>
          <w:rFonts w:ascii="Arial" w:hAnsi="Arial" w:cs="Arial"/>
        </w:rPr>
      </w:pPr>
      <w:r w:rsidRPr="007C7279">
        <w:rPr>
          <w:rFonts w:ascii="Arial" w:hAnsi="Arial" w:cs="Arial"/>
        </w:rPr>
        <w:t xml:space="preserve">While the current state of the market does not indicate a widespread problem, recent media coverage has generated significant consumer interest and concern about consumer exposure to known carcinogens. There was an apparent loss of consumer confidence in the safety of a range of direct and prolonged contact articles. </w:t>
      </w:r>
      <w:proofErr w:type="gramStart"/>
      <w:r w:rsidRPr="007C7279">
        <w:rPr>
          <w:rFonts w:ascii="Arial" w:hAnsi="Arial" w:cs="Arial"/>
        </w:rPr>
        <w:t>However slight, exposure to a known carcinogen increases each exposed individual’s aggregate risk.</w:t>
      </w:r>
      <w:proofErr w:type="gramEnd"/>
    </w:p>
    <w:p w:rsidR="00713F47" w:rsidRDefault="00713F47" w:rsidP="00713F47">
      <w:pPr>
        <w:spacing w:after="240"/>
        <w:rPr>
          <w:rFonts w:ascii="Arial" w:hAnsi="Arial" w:cs="Arial"/>
        </w:rPr>
      </w:pPr>
      <w:r>
        <w:rPr>
          <w:rFonts w:ascii="Arial" w:hAnsi="Arial" w:cs="Arial"/>
        </w:rPr>
        <w:t>The main health problem associated with exposure to aromatic amines is bladder cancer. The current lifetime economic cost (including medical and community costs) of treating bladder cancer is $1</w:t>
      </w:r>
      <w:r>
        <w:t> </w:t>
      </w:r>
      <w:r>
        <w:rPr>
          <w:rFonts w:ascii="Arial" w:hAnsi="Arial" w:cs="Arial"/>
        </w:rPr>
        <w:t>million per case. It is not possible to attribute a particular number of cases of bladder cancer to exposure to azo dyes, nor</w:t>
      </w:r>
      <w:r w:rsidRPr="00690F06">
        <w:rPr>
          <w:rFonts w:ascii="Arial" w:hAnsi="Arial" w:cs="Arial"/>
        </w:rPr>
        <w:t xml:space="preserve"> is </w:t>
      </w:r>
      <w:r>
        <w:rPr>
          <w:rFonts w:ascii="Arial" w:hAnsi="Arial" w:cs="Arial"/>
        </w:rPr>
        <w:t xml:space="preserve">it </w:t>
      </w:r>
      <w:r w:rsidRPr="00690F06">
        <w:rPr>
          <w:rFonts w:ascii="Arial" w:hAnsi="Arial" w:cs="Arial"/>
        </w:rPr>
        <w:t xml:space="preserve">possible to quantify the increased risk of developing cancer due to exposure to aromatic amines from these articles. </w:t>
      </w:r>
      <w:r w:rsidR="004E70D1">
        <w:rPr>
          <w:rFonts w:ascii="Arial" w:hAnsi="Arial" w:cs="Arial"/>
        </w:rPr>
        <w:t>Therefore</w:t>
      </w:r>
      <w:r>
        <w:rPr>
          <w:rFonts w:ascii="Arial" w:hAnsi="Arial" w:cs="Arial"/>
        </w:rPr>
        <w:t>, it is not possible to quantify the cost of treating any cases of bladder cancer that occur as a result of exposure to azo dyes. However, a</w:t>
      </w:r>
      <w:r w:rsidRPr="00690F06">
        <w:rPr>
          <w:rFonts w:ascii="Arial" w:hAnsi="Arial" w:cs="Arial"/>
        </w:rPr>
        <w:t xml:space="preserve">s viable alternative dyes without such risks exist, it is prudent to avoid unnecessary exposure to </w:t>
      </w:r>
      <w:r>
        <w:rPr>
          <w:rFonts w:ascii="Arial" w:hAnsi="Arial" w:cs="Arial"/>
        </w:rPr>
        <w:t xml:space="preserve">aromatic amines which are </w:t>
      </w:r>
      <w:r w:rsidRPr="00690F06">
        <w:rPr>
          <w:rFonts w:ascii="Arial" w:hAnsi="Arial" w:cs="Arial"/>
        </w:rPr>
        <w:t xml:space="preserve">known </w:t>
      </w:r>
      <w:r>
        <w:rPr>
          <w:rFonts w:ascii="Arial" w:hAnsi="Arial" w:cs="Arial"/>
        </w:rPr>
        <w:t xml:space="preserve">or suspected </w:t>
      </w:r>
      <w:r w:rsidRPr="00690F06">
        <w:rPr>
          <w:rFonts w:ascii="Arial" w:hAnsi="Arial" w:cs="Arial"/>
        </w:rPr>
        <w:t>carcinogen</w:t>
      </w:r>
      <w:r>
        <w:rPr>
          <w:rFonts w:ascii="Arial" w:hAnsi="Arial" w:cs="Arial"/>
        </w:rPr>
        <w:t>s</w:t>
      </w:r>
      <w:r w:rsidRPr="00690F06">
        <w:rPr>
          <w:rFonts w:ascii="Arial" w:hAnsi="Arial" w:cs="Arial"/>
        </w:rPr>
        <w:t xml:space="preserve">. </w:t>
      </w:r>
    </w:p>
    <w:p w:rsidR="004532C1" w:rsidRDefault="00713F47" w:rsidP="004532C1">
      <w:pPr>
        <w:spacing w:after="240"/>
        <w:rPr>
          <w:rFonts w:ascii="Arial" w:hAnsi="Arial" w:cs="Arial"/>
        </w:rPr>
      </w:pPr>
      <w:r>
        <w:rPr>
          <w:rFonts w:ascii="Arial" w:hAnsi="Arial" w:cs="Arial"/>
        </w:rPr>
        <w:t>From a supplier’s perspective</w:t>
      </w:r>
      <w:r w:rsidR="004532C1">
        <w:rPr>
          <w:rFonts w:ascii="Arial" w:hAnsi="Arial" w:cs="Arial"/>
        </w:rPr>
        <w:t>, assuming that the incentives to supply products free from hazardous azo dyes remain unchanged, this option does not impose any additional costs.</w:t>
      </w:r>
    </w:p>
    <w:p w:rsidR="00361DA9" w:rsidRDefault="00361DA9" w:rsidP="00361DA9">
      <w:pPr>
        <w:spacing w:after="240"/>
        <w:rPr>
          <w:rFonts w:ascii="Arial" w:hAnsi="Arial" w:cs="Arial"/>
        </w:rPr>
      </w:pPr>
      <w:r>
        <w:rPr>
          <w:rFonts w:ascii="Arial" w:hAnsi="Arial" w:cs="Arial"/>
        </w:rPr>
        <w:t>Finally, i</w:t>
      </w:r>
      <w:r w:rsidRPr="00690F06">
        <w:rPr>
          <w:rFonts w:ascii="Arial" w:hAnsi="Arial" w:cs="Arial"/>
        </w:rPr>
        <w:t xml:space="preserve">t is unclear if continued self-regulation </w:t>
      </w:r>
      <w:r w:rsidR="001C2BEB">
        <w:rPr>
          <w:rFonts w:ascii="Arial" w:hAnsi="Arial" w:cs="Arial"/>
        </w:rPr>
        <w:t>will</w:t>
      </w:r>
      <w:r w:rsidRPr="00690F06">
        <w:rPr>
          <w:rFonts w:ascii="Arial" w:hAnsi="Arial" w:cs="Arial"/>
        </w:rPr>
        <w:t xml:space="preserve"> sufficiently restore consumer confidence and manage broader stakeholder concerns</w:t>
      </w:r>
      <w:r>
        <w:rPr>
          <w:rFonts w:ascii="Arial" w:hAnsi="Arial" w:cs="Arial"/>
        </w:rPr>
        <w:t xml:space="preserve"> about exposure to azo dyes in direct and prolonged contact articles</w:t>
      </w:r>
      <w:r w:rsidRPr="00690F06">
        <w:rPr>
          <w:rFonts w:ascii="Arial" w:hAnsi="Arial" w:cs="Arial"/>
        </w:rPr>
        <w:t>.</w:t>
      </w:r>
    </w:p>
    <w:p w:rsidR="00AA6F25" w:rsidRPr="009278D5" w:rsidRDefault="00AA6F25" w:rsidP="00476827">
      <w:pPr>
        <w:pStyle w:val="Heading2"/>
        <w:spacing w:after="240"/>
        <w:ind w:left="709" w:hanging="709"/>
        <w:rPr>
          <w:rFonts w:ascii="Arial" w:hAnsi="Arial" w:cs="Arial"/>
        </w:rPr>
      </w:pPr>
      <w:bookmarkStart w:id="99" w:name="_Toc412196641"/>
      <w:r w:rsidRPr="009278D5">
        <w:rPr>
          <w:rFonts w:ascii="Arial" w:hAnsi="Arial" w:cs="Arial"/>
        </w:rPr>
        <w:lastRenderedPageBreak/>
        <w:t>5.2</w:t>
      </w:r>
      <w:r w:rsidRPr="009278D5">
        <w:rPr>
          <w:rFonts w:ascii="Arial" w:hAnsi="Arial" w:cs="Arial"/>
        </w:rPr>
        <w:tab/>
      </w:r>
      <w:r w:rsidR="00082081" w:rsidRPr="00690F06">
        <w:rPr>
          <w:rFonts w:ascii="Arial" w:hAnsi="Arial" w:cs="Arial"/>
        </w:rPr>
        <w:t>Option</w:t>
      </w:r>
      <w:r w:rsidR="00082081">
        <w:rPr>
          <w:rFonts w:ascii="Arial" w:hAnsi="Arial" w:cs="Arial"/>
        </w:rPr>
        <w:t> </w:t>
      </w:r>
      <w:r w:rsidR="00975501" w:rsidRPr="00690F06">
        <w:rPr>
          <w:rFonts w:ascii="Arial" w:hAnsi="Arial" w:cs="Arial"/>
        </w:rPr>
        <w:t xml:space="preserve">2: </w:t>
      </w:r>
      <w:r w:rsidR="006A5094">
        <w:rPr>
          <w:rFonts w:ascii="Arial" w:hAnsi="Arial" w:cs="Arial"/>
        </w:rPr>
        <w:t>Increased</w:t>
      </w:r>
      <w:r w:rsidR="00FE24E8">
        <w:rPr>
          <w:rFonts w:ascii="Arial" w:hAnsi="Arial" w:cs="Arial"/>
        </w:rPr>
        <w:t xml:space="preserve"> e</w:t>
      </w:r>
      <w:r w:rsidR="00975501" w:rsidRPr="00690F06">
        <w:rPr>
          <w:rFonts w:ascii="Arial" w:hAnsi="Arial" w:cs="Arial"/>
        </w:rPr>
        <w:t>ducation</w:t>
      </w:r>
      <w:r w:rsidR="00975501">
        <w:rPr>
          <w:rFonts w:ascii="Arial" w:hAnsi="Arial" w:cs="Arial"/>
        </w:rPr>
        <w:t xml:space="preserve"> and </w:t>
      </w:r>
      <w:r w:rsidR="005154CA">
        <w:rPr>
          <w:rFonts w:ascii="Arial" w:hAnsi="Arial" w:cs="Arial"/>
        </w:rPr>
        <w:t>on-going</w:t>
      </w:r>
      <w:r w:rsidR="00FE24E8">
        <w:rPr>
          <w:rFonts w:ascii="Arial" w:hAnsi="Arial" w:cs="Arial"/>
        </w:rPr>
        <w:t xml:space="preserve"> </w:t>
      </w:r>
      <w:r w:rsidR="00975501" w:rsidRPr="00690F06">
        <w:rPr>
          <w:rFonts w:ascii="Arial" w:hAnsi="Arial" w:cs="Arial"/>
        </w:rPr>
        <w:t>ACCC surveys</w:t>
      </w:r>
      <w:bookmarkEnd w:id="99"/>
    </w:p>
    <w:p w:rsidR="00AA6F25" w:rsidRPr="00690F06" w:rsidRDefault="00AA6F25" w:rsidP="00476827">
      <w:pPr>
        <w:keepNext/>
        <w:spacing w:after="240"/>
        <w:rPr>
          <w:rFonts w:ascii="Arial" w:hAnsi="Arial" w:cs="Arial"/>
          <w:b/>
          <w:i/>
        </w:rPr>
      </w:pPr>
      <w:r w:rsidRPr="00690F06">
        <w:rPr>
          <w:rFonts w:ascii="Arial" w:hAnsi="Arial" w:cs="Arial"/>
          <w:b/>
          <w:i/>
        </w:rPr>
        <w:t>Benefits</w:t>
      </w:r>
    </w:p>
    <w:p w:rsidR="006F6200" w:rsidRDefault="00C34FE6" w:rsidP="00AA6F25">
      <w:pPr>
        <w:spacing w:after="240"/>
        <w:rPr>
          <w:rFonts w:ascii="Arial" w:hAnsi="Arial" w:cs="Arial"/>
        </w:rPr>
      </w:pPr>
      <w:r>
        <w:rPr>
          <w:rFonts w:ascii="Arial" w:hAnsi="Arial" w:cs="Arial"/>
        </w:rPr>
        <w:t xml:space="preserve">This option has the same benefits as option </w:t>
      </w:r>
      <w:r w:rsidR="003E3497">
        <w:rPr>
          <w:rFonts w:ascii="Arial" w:hAnsi="Arial" w:cs="Arial"/>
        </w:rPr>
        <w:t xml:space="preserve">1 </w:t>
      </w:r>
      <w:r>
        <w:rPr>
          <w:rFonts w:ascii="Arial" w:hAnsi="Arial" w:cs="Arial"/>
        </w:rPr>
        <w:t>(</w:t>
      </w:r>
      <w:r w:rsidR="00471ED0">
        <w:rPr>
          <w:rFonts w:ascii="Arial" w:hAnsi="Arial" w:cs="Arial"/>
        </w:rPr>
        <w:t xml:space="preserve">i.e. </w:t>
      </w:r>
      <w:r>
        <w:rPr>
          <w:rFonts w:ascii="Arial" w:hAnsi="Arial" w:cs="Arial"/>
        </w:rPr>
        <w:t xml:space="preserve">the provision of a clear public </w:t>
      </w:r>
      <w:r w:rsidR="00471ED0">
        <w:rPr>
          <w:rFonts w:ascii="Arial" w:hAnsi="Arial" w:cs="Arial"/>
        </w:rPr>
        <w:t xml:space="preserve">guidance on </w:t>
      </w:r>
      <w:proofErr w:type="spellStart"/>
      <w:r w:rsidR="00471ED0">
        <w:rPr>
          <w:rFonts w:ascii="Arial" w:hAnsi="Arial" w:cs="Arial"/>
        </w:rPr>
        <w:t>SCoC</w:t>
      </w:r>
      <w:proofErr w:type="spellEnd"/>
      <w:r>
        <w:rPr>
          <w:rFonts w:ascii="Arial" w:hAnsi="Arial" w:cs="Arial"/>
        </w:rPr>
        <w:t>)</w:t>
      </w:r>
      <w:r w:rsidR="005D344F">
        <w:rPr>
          <w:rFonts w:ascii="Arial" w:hAnsi="Arial" w:cs="Arial"/>
        </w:rPr>
        <w:t xml:space="preserve">, </w:t>
      </w:r>
      <w:r w:rsidR="006F6200">
        <w:rPr>
          <w:rFonts w:ascii="Arial" w:hAnsi="Arial" w:cs="Arial"/>
        </w:rPr>
        <w:t xml:space="preserve">with the additional benefit of increasing supplier awareness of </w:t>
      </w:r>
      <w:r w:rsidR="004E70D1">
        <w:rPr>
          <w:rFonts w:ascii="Arial" w:hAnsi="Arial" w:cs="Arial"/>
        </w:rPr>
        <w:t xml:space="preserve">both </w:t>
      </w:r>
      <w:r w:rsidR="006F6200">
        <w:rPr>
          <w:rFonts w:ascii="Arial" w:hAnsi="Arial" w:cs="Arial"/>
        </w:rPr>
        <w:t xml:space="preserve">the problems associated with hazardous azo dyes and </w:t>
      </w:r>
      <w:r w:rsidR="00487DC0">
        <w:rPr>
          <w:rFonts w:ascii="Arial" w:hAnsi="Arial" w:cs="Arial"/>
        </w:rPr>
        <w:t>appropriate concentration levels</w:t>
      </w:r>
      <w:r w:rsidR="00471ED0">
        <w:rPr>
          <w:rFonts w:ascii="Arial" w:hAnsi="Arial" w:cs="Arial"/>
        </w:rPr>
        <w:t xml:space="preserve"> for the provision of safe products</w:t>
      </w:r>
      <w:r w:rsidR="00487DC0">
        <w:rPr>
          <w:rFonts w:ascii="Arial" w:hAnsi="Arial" w:cs="Arial"/>
        </w:rPr>
        <w:t>. Educational activities may also assist suppliers to develop improved compliance and testing regimes to increase detection.</w:t>
      </w:r>
    </w:p>
    <w:p w:rsidR="00487DC0" w:rsidRPr="00690F06" w:rsidRDefault="00487DC0" w:rsidP="00487DC0">
      <w:pPr>
        <w:spacing w:after="240"/>
        <w:rPr>
          <w:rFonts w:ascii="Arial" w:hAnsi="Arial" w:cs="Arial"/>
        </w:rPr>
      </w:pPr>
      <w:r>
        <w:rPr>
          <w:rFonts w:ascii="Arial" w:hAnsi="Arial" w:cs="Arial"/>
        </w:rPr>
        <w:t>Regulatory t</w:t>
      </w:r>
      <w:r w:rsidRPr="00690F06">
        <w:rPr>
          <w:rFonts w:ascii="Arial" w:hAnsi="Arial" w:cs="Arial"/>
        </w:rPr>
        <w:t xml:space="preserve">heory suggests most businesses will </w:t>
      </w:r>
      <w:r>
        <w:rPr>
          <w:rFonts w:ascii="Arial" w:hAnsi="Arial" w:cs="Arial"/>
        </w:rPr>
        <w:t>meet requirements</w:t>
      </w:r>
      <w:r w:rsidRPr="00690F06">
        <w:rPr>
          <w:rFonts w:ascii="Arial" w:hAnsi="Arial" w:cs="Arial"/>
        </w:rPr>
        <w:t xml:space="preserve"> if they are aware of </w:t>
      </w:r>
      <w:r>
        <w:rPr>
          <w:rFonts w:ascii="Arial" w:hAnsi="Arial" w:cs="Arial"/>
        </w:rPr>
        <w:t>them and they are</w:t>
      </w:r>
      <w:r w:rsidRPr="00690F06">
        <w:rPr>
          <w:rFonts w:ascii="Arial" w:hAnsi="Arial" w:cs="Arial"/>
        </w:rPr>
        <w:t xml:space="preserve"> not unduly difficult or expensive to achieve. </w:t>
      </w:r>
      <w:r>
        <w:rPr>
          <w:rFonts w:ascii="Arial" w:hAnsi="Arial" w:cs="Arial"/>
        </w:rPr>
        <w:t xml:space="preserve">Publishing </w:t>
      </w:r>
      <w:proofErr w:type="spellStart"/>
      <w:r w:rsidR="00471ED0">
        <w:rPr>
          <w:rFonts w:ascii="Arial" w:hAnsi="Arial" w:cs="Arial"/>
        </w:rPr>
        <w:t>SCoC</w:t>
      </w:r>
      <w:proofErr w:type="spellEnd"/>
      <w:r>
        <w:rPr>
          <w:rFonts w:ascii="Arial" w:hAnsi="Arial" w:cs="Arial"/>
        </w:rPr>
        <w:t xml:space="preserve"> and providing educational information to support suppliers</w:t>
      </w:r>
      <w:r w:rsidRPr="00690F06">
        <w:rPr>
          <w:rFonts w:ascii="Arial" w:hAnsi="Arial" w:cs="Arial"/>
        </w:rPr>
        <w:t xml:space="preserve"> </w:t>
      </w:r>
      <w:r>
        <w:rPr>
          <w:rFonts w:ascii="Arial" w:hAnsi="Arial" w:cs="Arial"/>
        </w:rPr>
        <w:t xml:space="preserve">to comply with </w:t>
      </w:r>
      <w:proofErr w:type="spellStart"/>
      <w:r w:rsidR="00471ED0">
        <w:rPr>
          <w:rFonts w:ascii="Arial" w:hAnsi="Arial" w:cs="Arial"/>
        </w:rPr>
        <w:t>SC</w:t>
      </w:r>
      <w:r w:rsidR="00476827">
        <w:rPr>
          <w:rFonts w:ascii="Arial" w:hAnsi="Arial" w:cs="Arial"/>
        </w:rPr>
        <w:t>o</w:t>
      </w:r>
      <w:r w:rsidR="00471ED0">
        <w:rPr>
          <w:rFonts w:ascii="Arial" w:hAnsi="Arial" w:cs="Arial"/>
        </w:rPr>
        <w:t>C</w:t>
      </w:r>
      <w:proofErr w:type="spellEnd"/>
      <w:r>
        <w:rPr>
          <w:rFonts w:ascii="Arial" w:hAnsi="Arial" w:cs="Arial"/>
        </w:rPr>
        <w:t xml:space="preserve"> is expected to</w:t>
      </w:r>
      <w:r w:rsidRPr="00690F06">
        <w:rPr>
          <w:rFonts w:ascii="Arial" w:hAnsi="Arial" w:cs="Arial"/>
        </w:rPr>
        <w:t xml:space="preserve"> </w:t>
      </w:r>
      <w:r>
        <w:rPr>
          <w:rFonts w:ascii="Arial" w:hAnsi="Arial" w:cs="Arial"/>
        </w:rPr>
        <w:t>result in reduced detections of aromatic amines in consumer products and a related reduction in levels of exposure of consumers to these chemicals.</w:t>
      </w:r>
    </w:p>
    <w:p w:rsidR="00AA6F25" w:rsidRDefault="00487DC0" w:rsidP="00AA6F25">
      <w:pPr>
        <w:spacing w:after="240"/>
        <w:rPr>
          <w:rFonts w:ascii="Arial" w:hAnsi="Arial" w:cs="Arial"/>
        </w:rPr>
      </w:pPr>
      <w:r>
        <w:rPr>
          <w:rFonts w:ascii="Arial" w:hAnsi="Arial" w:cs="Arial"/>
        </w:rPr>
        <w:t>G</w:t>
      </w:r>
      <w:r w:rsidR="00AA6F25" w:rsidRPr="00690F06">
        <w:rPr>
          <w:rFonts w:ascii="Arial" w:hAnsi="Arial" w:cs="Arial"/>
        </w:rPr>
        <w:t>iven th</w:t>
      </w:r>
      <w:r w:rsidR="005D344F">
        <w:rPr>
          <w:rFonts w:ascii="Arial" w:hAnsi="Arial" w:cs="Arial"/>
        </w:rPr>
        <w:t>at th</w:t>
      </w:r>
      <w:r w:rsidR="00AA6F25" w:rsidRPr="00690F06">
        <w:rPr>
          <w:rFonts w:ascii="Arial" w:hAnsi="Arial" w:cs="Arial"/>
        </w:rPr>
        <w:t xml:space="preserve">e ACCC website would be the central </w:t>
      </w:r>
      <w:r w:rsidR="005D344F">
        <w:rPr>
          <w:rFonts w:ascii="Arial" w:hAnsi="Arial" w:cs="Arial"/>
        </w:rPr>
        <w:t xml:space="preserve">information tool to provide increased education to </w:t>
      </w:r>
      <w:proofErr w:type="gramStart"/>
      <w:r w:rsidR="005D344F">
        <w:rPr>
          <w:rFonts w:ascii="Arial" w:hAnsi="Arial" w:cs="Arial"/>
        </w:rPr>
        <w:t>suppliers,</w:t>
      </w:r>
      <w:proofErr w:type="gramEnd"/>
      <w:r w:rsidR="005D344F">
        <w:rPr>
          <w:rFonts w:ascii="Arial" w:hAnsi="Arial" w:cs="Arial"/>
        </w:rPr>
        <w:t xml:space="preserve"> this </w:t>
      </w:r>
      <w:r w:rsidR="00AA6F25" w:rsidRPr="00690F06">
        <w:rPr>
          <w:rFonts w:ascii="Arial" w:hAnsi="Arial" w:cs="Arial"/>
        </w:rPr>
        <w:t>activity would not be consider</w:t>
      </w:r>
      <w:r w:rsidR="005D344F">
        <w:rPr>
          <w:rFonts w:ascii="Arial" w:hAnsi="Arial" w:cs="Arial"/>
        </w:rPr>
        <w:t xml:space="preserve">ably resource-intensive. </w:t>
      </w:r>
      <w:r w:rsidR="00AA6F25">
        <w:rPr>
          <w:rFonts w:ascii="Arial" w:hAnsi="Arial" w:cs="Arial"/>
        </w:rPr>
        <w:t>E</w:t>
      </w:r>
      <w:r w:rsidR="00AA6F25" w:rsidRPr="00690F06">
        <w:rPr>
          <w:rFonts w:ascii="Arial" w:hAnsi="Arial" w:cs="Arial"/>
        </w:rPr>
        <w:t>ducation initiatives can be readily adapted and tailored to target particular sectors or sub-issues where there is evidence that general education campaigns are not eliciting the intended outcome.</w:t>
      </w:r>
    </w:p>
    <w:p w:rsidR="00FB3CFF" w:rsidRDefault="00FB3CFF" w:rsidP="00FB3CFF">
      <w:pPr>
        <w:spacing w:before="240" w:after="240"/>
        <w:rPr>
          <w:rFonts w:ascii="Arial" w:hAnsi="Arial" w:cs="Arial"/>
        </w:rPr>
      </w:pPr>
      <w:r w:rsidRPr="00FB3CFF">
        <w:rPr>
          <w:rFonts w:ascii="Arial" w:hAnsi="Arial" w:cs="Arial"/>
        </w:rPr>
        <w:t xml:space="preserve">Consumer education on the ACL and the </w:t>
      </w:r>
      <w:proofErr w:type="spellStart"/>
      <w:r w:rsidR="00471ED0">
        <w:rPr>
          <w:rFonts w:ascii="Arial" w:hAnsi="Arial" w:cs="Arial"/>
        </w:rPr>
        <w:t>SC</w:t>
      </w:r>
      <w:r w:rsidR="00476827">
        <w:rPr>
          <w:rFonts w:ascii="Arial" w:hAnsi="Arial" w:cs="Arial"/>
        </w:rPr>
        <w:t>o</w:t>
      </w:r>
      <w:r w:rsidR="00471ED0">
        <w:rPr>
          <w:rFonts w:ascii="Arial" w:hAnsi="Arial" w:cs="Arial"/>
        </w:rPr>
        <w:t>C</w:t>
      </w:r>
      <w:proofErr w:type="spellEnd"/>
      <w:r w:rsidRPr="00FB3CFF">
        <w:rPr>
          <w:rFonts w:ascii="Arial" w:hAnsi="Arial" w:cs="Arial"/>
        </w:rPr>
        <w:t xml:space="preserve"> would also be beneficial. By knowing their rights consumers can demand safer products and services.</w:t>
      </w:r>
      <w:r w:rsidRPr="00FB3CFF">
        <w:rPr>
          <w:rStyle w:val="FootnoteReference"/>
          <w:rFonts w:ascii="Arial" w:hAnsi="Arial" w:cs="Arial"/>
        </w:rPr>
        <w:footnoteReference w:id="49"/>
      </w:r>
      <w:r w:rsidRPr="00FB3CFF">
        <w:rPr>
          <w:rFonts w:ascii="Arial" w:hAnsi="Arial" w:cs="Arial"/>
        </w:rPr>
        <w:t xml:space="preserve"> In this case consumers could ask sellers if goods of interest had been manufactured without use of the hazardous azo dyes. The appropriateness of regulators working to raise awareness of consumers and suppliers about the statutory rights and responsibilities conferred by consumer law has previously been noted by the Productivity Commission.</w:t>
      </w:r>
      <w:r w:rsidRPr="00FB3CFF">
        <w:rPr>
          <w:rStyle w:val="FootnoteReference"/>
          <w:rFonts w:ascii="Arial" w:hAnsi="Arial" w:cs="Arial"/>
        </w:rPr>
        <w:footnoteReference w:id="50"/>
      </w:r>
    </w:p>
    <w:p w:rsidR="00AA6F25" w:rsidRPr="00690F06" w:rsidRDefault="00AA6F25" w:rsidP="00AA6F25">
      <w:pPr>
        <w:spacing w:after="240"/>
        <w:rPr>
          <w:rFonts w:ascii="Arial" w:hAnsi="Arial" w:cs="Arial"/>
        </w:rPr>
      </w:pPr>
      <w:r>
        <w:rPr>
          <w:rFonts w:ascii="Arial" w:hAnsi="Arial" w:cs="Arial"/>
        </w:rPr>
        <w:t xml:space="preserve">This option would </w:t>
      </w:r>
      <w:r w:rsidR="00487DC0">
        <w:rPr>
          <w:rFonts w:ascii="Arial" w:hAnsi="Arial" w:cs="Arial"/>
        </w:rPr>
        <w:t xml:space="preserve">also </w:t>
      </w:r>
      <w:r>
        <w:rPr>
          <w:rFonts w:ascii="Arial" w:hAnsi="Arial" w:cs="Arial"/>
        </w:rPr>
        <w:t xml:space="preserve">include ongoing </w:t>
      </w:r>
      <w:r w:rsidRPr="00690F06">
        <w:rPr>
          <w:rFonts w:ascii="Arial" w:hAnsi="Arial" w:cs="Arial"/>
        </w:rPr>
        <w:t xml:space="preserve">ACCC </w:t>
      </w:r>
      <w:r>
        <w:rPr>
          <w:rFonts w:ascii="Arial" w:hAnsi="Arial" w:cs="Arial"/>
        </w:rPr>
        <w:t xml:space="preserve">product </w:t>
      </w:r>
      <w:r w:rsidRPr="00690F06">
        <w:rPr>
          <w:rFonts w:ascii="Arial" w:hAnsi="Arial" w:cs="Arial"/>
        </w:rPr>
        <w:t xml:space="preserve">survey activity </w:t>
      </w:r>
      <w:r>
        <w:rPr>
          <w:rFonts w:ascii="Arial" w:hAnsi="Arial" w:cs="Arial"/>
        </w:rPr>
        <w:t>to</w:t>
      </w:r>
      <w:r w:rsidRPr="00690F06">
        <w:rPr>
          <w:rFonts w:ascii="Arial" w:hAnsi="Arial" w:cs="Arial"/>
        </w:rPr>
        <w:t xml:space="preserve"> identify articles with high concentrations of </w:t>
      </w:r>
      <w:r w:rsidR="00840A43">
        <w:rPr>
          <w:rFonts w:ascii="Arial" w:hAnsi="Arial" w:cs="Arial"/>
        </w:rPr>
        <w:t xml:space="preserve">certain </w:t>
      </w:r>
      <w:r w:rsidRPr="00690F06">
        <w:rPr>
          <w:rFonts w:ascii="Arial" w:hAnsi="Arial" w:cs="Arial"/>
        </w:rPr>
        <w:t xml:space="preserve">aromatic amines and </w:t>
      </w:r>
      <w:r>
        <w:rPr>
          <w:rFonts w:ascii="Arial" w:hAnsi="Arial" w:cs="Arial"/>
        </w:rPr>
        <w:t>remove these from the market,</w:t>
      </w:r>
      <w:r w:rsidRPr="00690F06">
        <w:rPr>
          <w:rFonts w:ascii="Arial" w:hAnsi="Arial" w:cs="Arial"/>
        </w:rPr>
        <w:t xml:space="preserve"> reducing the likelihood that consumers would be exposed to </w:t>
      </w:r>
      <w:r>
        <w:rPr>
          <w:rFonts w:ascii="Arial" w:hAnsi="Arial" w:cs="Arial"/>
        </w:rPr>
        <w:t xml:space="preserve">these </w:t>
      </w:r>
      <w:r w:rsidRPr="00690F06">
        <w:rPr>
          <w:rFonts w:ascii="Arial" w:hAnsi="Arial" w:cs="Arial"/>
        </w:rPr>
        <w:t xml:space="preserve">carcinogens. Additional ACCC </w:t>
      </w:r>
      <w:r>
        <w:rPr>
          <w:rFonts w:ascii="Arial" w:hAnsi="Arial" w:cs="Arial"/>
        </w:rPr>
        <w:t xml:space="preserve">product </w:t>
      </w:r>
      <w:r w:rsidRPr="00690F06">
        <w:rPr>
          <w:rFonts w:ascii="Arial" w:hAnsi="Arial" w:cs="Arial"/>
        </w:rPr>
        <w:t xml:space="preserve">surveys could be random or programmed, announced or unannounced. These additional surveys </w:t>
      </w:r>
      <w:r>
        <w:rPr>
          <w:rFonts w:ascii="Arial" w:hAnsi="Arial" w:cs="Arial"/>
        </w:rPr>
        <w:t>are expected to further</w:t>
      </w:r>
      <w:r w:rsidRPr="00690F06">
        <w:rPr>
          <w:rFonts w:ascii="Arial" w:hAnsi="Arial" w:cs="Arial"/>
        </w:rPr>
        <w:t xml:space="preserve"> encourage supplier vigilance.</w:t>
      </w:r>
    </w:p>
    <w:p w:rsidR="00AA6F25" w:rsidRPr="00F73ED1" w:rsidRDefault="005C018D" w:rsidP="00AA6F25">
      <w:pPr>
        <w:spacing w:after="240"/>
        <w:rPr>
          <w:rFonts w:ascii="Arial" w:hAnsi="Arial" w:cs="Arial"/>
        </w:rPr>
      </w:pPr>
      <w:r>
        <w:rPr>
          <w:rFonts w:ascii="Arial" w:hAnsi="Arial" w:cs="Arial"/>
        </w:rPr>
        <w:t>Under this option suppliers may be more willing to engage with Australian regulators and discuss adverse test results as this option does not include a specific penalty for</w:t>
      </w:r>
      <w:r w:rsidR="00922714">
        <w:rPr>
          <w:rFonts w:ascii="Arial" w:hAnsi="Arial" w:cs="Arial"/>
        </w:rPr>
        <w:t xml:space="preserve"> having unsafe levels of aromatic amines.</w:t>
      </w:r>
      <w:r>
        <w:rPr>
          <w:rFonts w:ascii="Arial" w:hAnsi="Arial" w:cs="Arial"/>
        </w:rPr>
        <w:t xml:space="preserve"> </w:t>
      </w:r>
    </w:p>
    <w:p w:rsidR="00AA6F25" w:rsidRPr="00690F06" w:rsidRDefault="00AA6F25" w:rsidP="00AA6F25">
      <w:pPr>
        <w:spacing w:before="240" w:after="240"/>
        <w:rPr>
          <w:rFonts w:ascii="Arial" w:hAnsi="Arial" w:cs="Arial"/>
          <w:b/>
          <w:i/>
        </w:rPr>
      </w:pPr>
      <w:r w:rsidRPr="00690F06">
        <w:rPr>
          <w:rFonts w:ascii="Arial" w:hAnsi="Arial" w:cs="Arial"/>
          <w:b/>
          <w:i/>
        </w:rPr>
        <w:t>Costs</w:t>
      </w:r>
    </w:p>
    <w:p w:rsidR="00F57230" w:rsidRPr="00690F06" w:rsidRDefault="00AE0999" w:rsidP="00EA021F">
      <w:pPr>
        <w:spacing w:after="240"/>
        <w:rPr>
          <w:rFonts w:ascii="Arial" w:hAnsi="Arial" w:cs="Arial"/>
        </w:rPr>
      </w:pPr>
      <w:r>
        <w:rPr>
          <w:rFonts w:ascii="Arial" w:hAnsi="Arial" w:cs="Arial"/>
        </w:rPr>
        <w:t xml:space="preserve">The difference between this option and option 1 is that </w:t>
      </w:r>
      <w:r w:rsidR="00716960">
        <w:rPr>
          <w:rFonts w:ascii="Arial" w:hAnsi="Arial" w:cs="Arial"/>
        </w:rPr>
        <w:t xml:space="preserve">under this option, </w:t>
      </w:r>
      <w:r>
        <w:rPr>
          <w:rFonts w:ascii="Arial" w:hAnsi="Arial" w:cs="Arial"/>
        </w:rPr>
        <w:t xml:space="preserve">suppliers are more likely to become aware of the </w:t>
      </w:r>
      <w:proofErr w:type="spellStart"/>
      <w:r w:rsidR="00471ED0">
        <w:rPr>
          <w:rFonts w:ascii="Arial" w:hAnsi="Arial" w:cs="Arial"/>
        </w:rPr>
        <w:t>SCoC</w:t>
      </w:r>
      <w:proofErr w:type="spellEnd"/>
      <w:r w:rsidR="00471ED0">
        <w:rPr>
          <w:rFonts w:ascii="Arial" w:hAnsi="Arial" w:cs="Arial"/>
        </w:rPr>
        <w:t xml:space="preserve"> and appropriate concentration levels, </w:t>
      </w:r>
      <w:r>
        <w:rPr>
          <w:rFonts w:ascii="Arial" w:hAnsi="Arial" w:cs="Arial"/>
        </w:rPr>
        <w:t>and the problems associated with hazardous azo dyes.</w:t>
      </w:r>
      <w:r w:rsidR="00F5605C">
        <w:rPr>
          <w:rFonts w:ascii="Arial" w:hAnsi="Arial" w:cs="Arial"/>
        </w:rPr>
        <w:t xml:space="preserve"> </w:t>
      </w:r>
    </w:p>
    <w:p w:rsidR="00AA6F25" w:rsidRDefault="00F5605C" w:rsidP="00AA6F25">
      <w:pPr>
        <w:spacing w:after="240"/>
        <w:rPr>
          <w:rFonts w:ascii="Arial" w:hAnsi="Arial" w:cs="Arial"/>
        </w:rPr>
      </w:pPr>
      <w:r>
        <w:rPr>
          <w:rFonts w:ascii="Arial" w:hAnsi="Arial" w:cs="Arial"/>
        </w:rPr>
        <w:t>However, t</w:t>
      </w:r>
      <w:r w:rsidR="00AA6F25" w:rsidRPr="00690F06">
        <w:rPr>
          <w:rFonts w:ascii="Arial" w:hAnsi="Arial" w:cs="Arial"/>
        </w:rPr>
        <w:t xml:space="preserve">he importation and supply of direct and prolonged contact articles is already governed by the general provisions of the ACL and the defective goods regime, a series of industry standards and </w:t>
      </w:r>
      <w:r>
        <w:rPr>
          <w:rFonts w:ascii="Arial" w:hAnsi="Arial" w:cs="Arial"/>
        </w:rPr>
        <w:t xml:space="preserve">various </w:t>
      </w:r>
      <w:r w:rsidR="00AA6F25" w:rsidRPr="00690F06">
        <w:rPr>
          <w:rFonts w:ascii="Arial" w:hAnsi="Arial" w:cs="Arial"/>
        </w:rPr>
        <w:t xml:space="preserve">contractual arrangements. This </w:t>
      </w:r>
      <w:r w:rsidR="00AA6F25">
        <w:rPr>
          <w:rFonts w:ascii="Arial" w:hAnsi="Arial" w:cs="Arial"/>
        </w:rPr>
        <w:t>option</w:t>
      </w:r>
      <w:r w:rsidR="00AA6F25" w:rsidRPr="00690F06">
        <w:rPr>
          <w:rFonts w:ascii="Arial" w:hAnsi="Arial" w:cs="Arial"/>
        </w:rPr>
        <w:t xml:space="preserve"> will not change the requirements of those regulatory regimes, or make the process of importing dyed articles </w:t>
      </w:r>
      <w:r w:rsidR="00AA6F25">
        <w:rPr>
          <w:rFonts w:ascii="Arial" w:hAnsi="Arial" w:cs="Arial"/>
        </w:rPr>
        <w:lastRenderedPageBreak/>
        <w:t xml:space="preserve">noticeably </w:t>
      </w:r>
      <w:r w:rsidR="00AA6F25" w:rsidRPr="00690F06">
        <w:rPr>
          <w:rFonts w:ascii="Arial" w:hAnsi="Arial" w:cs="Arial"/>
        </w:rPr>
        <w:t>more complex</w:t>
      </w:r>
      <w:r w:rsidR="003E3497">
        <w:rPr>
          <w:rFonts w:ascii="Arial" w:hAnsi="Arial" w:cs="Arial"/>
        </w:rPr>
        <w:t>. A</w:t>
      </w:r>
      <w:r w:rsidR="00732E2A">
        <w:rPr>
          <w:rFonts w:ascii="Arial" w:hAnsi="Arial" w:cs="Arial"/>
        </w:rPr>
        <w:t xml:space="preserve">ny </w:t>
      </w:r>
      <w:r w:rsidR="00EA021F">
        <w:rPr>
          <w:rFonts w:ascii="Arial" w:hAnsi="Arial" w:cs="Arial"/>
        </w:rPr>
        <w:t xml:space="preserve">additional </w:t>
      </w:r>
      <w:r w:rsidR="00732E2A">
        <w:rPr>
          <w:rFonts w:ascii="Arial" w:hAnsi="Arial" w:cs="Arial"/>
        </w:rPr>
        <w:t xml:space="preserve">costs </w:t>
      </w:r>
      <w:r w:rsidR="00EA021F">
        <w:rPr>
          <w:rFonts w:ascii="Arial" w:hAnsi="Arial" w:cs="Arial"/>
        </w:rPr>
        <w:t>to improve quality control processes</w:t>
      </w:r>
      <w:r w:rsidR="00211385">
        <w:rPr>
          <w:rFonts w:ascii="Arial" w:hAnsi="Arial" w:cs="Arial"/>
        </w:rPr>
        <w:t xml:space="preserve"> which </w:t>
      </w:r>
      <w:r w:rsidR="001E7691">
        <w:rPr>
          <w:rFonts w:ascii="Arial" w:hAnsi="Arial" w:cs="Arial"/>
        </w:rPr>
        <w:t xml:space="preserve">otherwise </w:t>
      </w:r>
      <w:r w:rsidR="00211385">
        <w:rPr>
          <w:rFonts w:ascii="Arial" w:hAnsi="Arial" w:cs="Arial"/>
        </w:rPr>
        <w:t>could be</w:t>
      </w:r>
      <w:r w:rsidR="000A5A4A">
        <w:rPr>
          <w:rFonts w:ascii="Arial" w:hAnsi="Arial" w:cs="Arial"/>
        </w:rPr>
        <w:t xml:space="preserve"> </w:t>
      </w:r>
      <w:r w:rsidR="00922714">
        <w:rPr>
          <w:rFonts w:ascii="Arial" w:hAnsi="Arial" w:cs="Arial"/>
        </w:rPr>
        <w:t>attributed to</w:t>
      </w:r>
      <w:r w:rsidR="00732E2A">
        <w:rPr>
          <w:rFonts w:ascii="Arial" w:hAnsi="Arial" w:cs="Arial"/>
        </w:rPr>
        <w:t xml:space="preserve"> this option should be being incurred already in order to comply with the general provisions </w:t>
      </w:r>
      <w:r w:rsidR="00F57230">
        <w:rPr>
          <w:rFonts w:ascii="Arial" w:hAnsi="Arial" w:cs="Arial"/>
        </w:rPr>
        <w:t xml:space="preserve">of the </w:t>
      </w:r>
      <w:r w:rsidR="00732E2A">
        <w:rPr>
          <w:rFonts w:ascii="Arial" w:hAnsi="Arial" w:cs="Arial"/>
        </w:rPr>
        <w:t>ACL</w:t>
      </w:r>
      <w:r w:rsidR="00EA021F">
        <w:rPr>
          <w:rFonts w:ascii="Arial" w:hAnsi="Arial" w:cs="Arial"/>
        </w:rPr>
        <w:t>. Additional costs</w:t>
      </w:r>
      <w:r w:rsidR="00471ED0">
        <w:rPr>
          <w:rFonts w:ascii="Arial" w:hAnsi="Arial" w:cs="Arial"/>
        </w:rPr>
        <w:t xml:space="preserve"> (such as testing costs)</w:t>
      </w:r>
      <w:r w:rsidR="00EA021F">
        <w:rPr>
          <w:rFonts w:ascii="Arial" w:hAnsi="Arial" w:cs="Arial"/>
        </w:rPr>
        <w:t xml:space="preserve"> incurred under this option would be voluntarily </w:t>
      </w:r>
      <w:r w:rsidR="00D23019">
        <w:rPr>
          <w:rFonts w:ascii="Arial" w:hAnsi="Arial" w:cs="Arial"/>
        </w:rPr>
        <w:t xml:space="preserve">incurred </w:t>
      </w:r>
      <w:r w:rsidR="00211385">
        <w:rPr>
          <w:rFonts w:ascii="Arial" w:hAnsi="Arial" w:cs="Arial"/>
        </w:rPr>
        <w:t>by suppliers</w:t>
      </w:r>
      <w:r w:rsidR="000A5A4A">
        <w:rPr>
          <w:rFonts w:ascii="Arial" w:hAnsi="Arial" w:cs="Arial"/>
        </w:rPr>
        <w:t xml:space="preserve"> and would likely be </w:t>
      </w:r>
      <w:r w:rsidR="00211385">
        <w:rPr>
          <w:rFonts w:ascii="Arial" w:hAnsi="Arial" w:cs="Arial"/>
        </w:rPr>
        <w:t xml:space="preserve">due to </w:t>
      </w:r>
      <w:r w:rsidR="00D23019">
        <w:rPr>
          <w:rFonts w:ascii="Arial" w:hAnsi="Arial" w:cs="Arial"/>
        </w:rPr>
        <w:t xml:space="preserve">suppliers </w:t>
      </w:r>
      <w:r w:rsidR="000A5A4A">
        <w:rPr>
          <w:rFonts w:ascii="Arial" w:hAnsi="Arial" w:cs="Arial"/>
        </w:rPr>
        <w:t xml:space="preserve">better </w:t>
      </w:r>
      <w:r w:rsidR="00D23019">
        <w:rPr>
          <w:rFonts w:ascii="Arial" w:hAnsi="Arial" w:cs="Arial"/>
        </w:rPr>
        <w:t>understanding their existing obligation to supply safe goods.</w:t>
      </w:r>
      <w:r w:rsidR="00D079E7">
        <w:rPr>
          <w:rFonts w:ascii="Arial" w:hAnsi="Arial" w:cs="Arial"/>
        </w:rPr>
        <w:t xml:space="preserve"> This option is non-regulatory and therefore there </w:t>
      </w:r>
      <w:r w:rsidR="00476827">
        <w:rPr>
          <w:rFonts w:ascii="Arial" w:hAnsi="Arial" w:cs="Arial"/>
        </w:rPr>
        <w:t>are</w:t>
      </w:r>
      <w:r w:rsidR="00D079E7">
        <w:rPr>
          <w:rFonts w:ascii="Arial" w:hAnsi="Arial" w:cs="Arial"/>
        </w:rPr>
        <w:t xml:space="preserve"> no penalt</w:t>
      </w:r>
      <w:r w:rsidR="00476827">
        <w:rPr>
          <w:rFonts w:ascii="Arial" w:hAnsi="Arial" w:cs="Arial"/>
        </w:rPr>
        <w:t>ies</w:t>
      </w:r>
      <w:r w:rsidR="00D079E7">
        <w:rPr>
          <w:rFonts w:ascii="Arial" w:hAnsi="Arial" w:cs="Arial"/>
        </w:rPr>
        <w:t xml:space="preserve"> associated with it.</w:t>
      </w:r>
    </w:p>
    <w:p w:rsidR="00AA6F25" w:rsidRPr="00EB5DC9" w:rsidRDefault="00AA6F25" w:rsidP="00AA6F25">
      <w:pPr>
        <w:spacing w:after="240"/>
        <w:rPr>
          <w:rFonts w:ascii="Arial" w:hAnsi="Arial" w:cs="Arial"/>
        </w:rPr>
      </w:pPr>
      <w:r>
        <w:rPr>
          <w:rFonts w:ascii="Arial" w:hAnsi="Arial" w:cs="Arial"/>
        </w:rPr>
        <w:t xml:space="preserve">Under this option consumers may still be exposed to potentially carcinogenic chemicals in direct and prolonged contact articles from those suppliers that choose to not invest in supply chain monitoring and testing. The extent of this exposure is </w:t>
      </w:r>
      <w:r w:rsidR="008F7B4F">
        <w:rPr>
          <w:rFonts w:ascii="Arial" w:hAnsi="Arial" w:cs="Arial"/>
        </w:rPr>
        <w:t>not clear</w:t>
      </w:r>
      <w:r w:rsidR="00D079E7">
        <w:rPr>
          <w:rFonts w:ascii="Arial" w:hAnsi="Arial" w:cs="Arial"/>
        </w:rPr>
        <w:t xml:space="preserve"> because it is uncertain to what extent suppliers as a whole will change their current practices</w:t>
      </w:r>
      <w:r>
        <w:rPr>
          <w:rFonts w:ascii="Arial" w:hAnsi="Arial" w:cs="Arial"/>
        </w:rPr>
        <w:t>.</w:t>
      </w:r>
    </w:p>
    <w:p w:rsidR="00AA6F25" w:rsidRDefault="00AA6F25" w:rsidP="00AA6F25">
      <w:pPr>
        <w:spacing w:after="240"/>
        <w:rPr>
          <w:rFonts w:ascii="Arial" w:hAnsi="Arial" w:cs="Arial"/>
        </w:rPr>
      </w:pPr>
      <w:r>
        <w:rPr>
          <w:rFonts w:ascii="Arial" w:hAnsi="Arial" w:cs="Arial"/>
        </w:rPr>
        <w:t xml:space="preserve">This option </w:t>
      </w:r>
      <w:r w:rsidR="008F7B4F">
        <w:rPr>
          <w:rFonts w:ascii="Arial" w:hAnsi="Arial" w:cs="Arial"/>
        </w:rPr>
        <w:t xml:space="preserve">also </w:t>
      </w:r>
      <w:r>
        <w:rPr>
          <w:rFonts w:ascii="Arial" w:hAnsi="Arial" w:cs="Arial"/>
        </w:rPr>
        <w:t xml:space="preserve">involves the conduct of future product surveys of the market. </w:t>
      </w:r>
      <w:r w:rsidR="00987C97">
        <w:rPr>
          <w:rFonts w:ascii="Arial" w:hAnsi="Arial" w:cs="Arial"/>
        </w:rPr>
        <w:t>The </w:t>
      </w:r>
      <w:r>
        <w:rPr>
          <w:rFonts w:ascii="Arial" w:hAnsi="Arial" w:cs="Arial"/>
        </w:rPr>
        <w:t xml:space="preserve">2013 product survey </w:t>
      </w:r>
      <w:r w:rsidR="00987C97">
        <w:rPr>
          <w:rFonts w:ascii="Arial" w:hAnsi="Arial" w:cs="Arial"/>
        </w:rPr>
        <w:t>cost </w:t>
      </w:r>
      <w:r>
        <w:rPr>
          <w:rFonts w:ascii="Arial" w:hAnsi="Arial" w:cs="Arial"/>
        </w:rPr>
        <w:t xml:space="preserve">$140 000, which included the purchase and testing of 300 clothing and bedding items. The extent and frequency of future ACCC product surveys could be adjusted to reflect the degree </w:t>
      </w:r>
      <w:r w:rsidR="00DF0893">
        <w:rPr>
          <w:rFonts w:ascii="Arial" w:hAnsi="Arial" w:cs="Arial"/>
        </w:rPr>
        <w:t xml:space="preserve">to which suppliers meet the </w:t>
      </w:r>
      <w:proofErr w:type="spellStart"/>
      <w:r w:rsidR="00471ED0">
        <w:rPr>
          <w:rFonts w:ascii="Arial" w:hAnsi="Arial" w:cs="Arial"/>
        </w:rPr>
        <w:t>SCoC</w:t>
      </w:r>
      <w:proofErr w:type="spellEnd"/>
      <w:r w:rsidR="00471ED0">
        <w:rPr>
          <w:rFonts w:ascii="Arial" w:hAnsi="Arial" w:cs="Arial"/>
        </w:rPr>
        <w:t xml:space="preserve"> </w:t>
      </w:r>
      <w:r w:rsidR="00DF0893">
        <w:rPr>
          <w:rFonts w:ascii="Arial" w:hAnsi="Arial" w:cs="Arial"/>
        </w:rPr>
        <w:t xml:space="preserve">as </w:t>
      </w:r>
      <w:r>
        <w:rPr>
          <w:rFonts w:ascii="Arial" w:hAnsi="Arial" w:cs="Arial"/>
        </w:rPr>
        <w:t>observed in earlier surveys. The ACCC expects to allocate a proportion of its budget to staff and testing costs in relation to azo dyes on an ongoing basis (approximately</w:t>
      </w:r>
      <w:r w:rsidR="00987C97">
        <w:rPr>
          <w:rFonts w:ascii="Arial" w:hAnsi="Arial" w:cs="Arial"/>
        </w:rPr>
        <w:t> </w:t>
      </w:r>
      <w:r>
        <w:rPr>
          <w:rFonts w:ascii="Arial" w:hAnsi="Arial" w:cs="Arial"/>
        </w:rPr>
        <w:t>$50 </w:t>
      </w:r>
      <w:r w:rsidR="00A07532">
        <w:rPr>
          <w:rFonts w:ascii="Arial" w:hAnsi="Arial" w:cs="Arial"/>
        </w:rPr>
        <w:t xml:space="preserve">000 for staff and testing </w:t>
      </w:r>
      <w:r>
        <w:rPr>
          <w:rFonts w:ascii="Arial" w:hAnsi="Arial" w:cs="Arial"/>
        </w:rPr>
        <w:t>per year).</w:t>
      </w:r>
      <w:r w:rsidR="00F57230">
        <w:rPr>
          <w:rFonts w:ascii="Arial" w:hAnsi="Arial" w:cs="Arial"/>
        </w:rPr>
        <w:t xml:space="preserve"> This expenditure comes with an opportunity cost as it may reduce expenditure assessing the safety of other goods.</w:t>
      </w:r>
    </w:p>
    <w:p w:rsidR="00211385" w:rsidRDefault="00211385" w:rsidP="00AA6F25">
      <w:pPr>
        <w:spacing w:after="240"/>
        <w:rPr>
          <w:rFonts w:ascii="Arial" w:hAnsi="Arial" w:cs="Arial"/>
        </w:rPr>
      </w:pPr>
      <w:r>
        <w:rPr>
          <w:rFonts w:ascii="Arial" w:hAnsi="Arial" w:cs="Arial"/>
        </w:rPr>
        <w:t>Where unsafe direct and prolonged contact articles are identified during a product survey, suppliers will be contacted and given the opportunity to voluntarily recall those goods. The ACL includes an option for the Minister to issue a compulsory recall notice.</w:t>
      </w:r>
    </w:p>
    <w:p w:rsidR="00AA6F25" w:rsidRDefault="00AA6F25" w:rsidP="00AA6F25">
      <w:pPr>
        <w:spacing w:after="240"/>
        <w:rPr>
          <w:rFonts w:ascii="Arial" w:hAnsi="Arial" w:cs="Arial"/>
        </w:rPr>
      </w:pPr>
      <w:r>
        <w:rPr>
          <w:rFonts w:ascii="Arial" w:hAnsi="Arial" w:cs="Arial"/>
        </w:rPr>
        <w:t>Any</w:t>
      </w:r>
      <w:r w:rsidRPr="00690F06">
        <w:rPr>
          <w:rFonts w:ascii="Arial" w:hAnsi="Arial" w:cs="Arial"/>
        </w:rPr>
        <w:t xml:space="preserve"> additional costs for </w:t>
      </w:r>
      <w:r>
        <w:rPr>
          <w:rFonts w:ascii="Arial" w:hAnsi="Arial" w:cs="Arial"/>
        </w:rPr>
        <w:t xml:space="preserve">maintenance of the ACCC (Product Safety Australia) website, </w:t>
      </w:r>
      <w:r w:rsidRPr="00690F06">
        <w:rPr>
          <w:rFonts w:ascii="Arial" w:hAnsi="Arial" w:cs="Arial"/>
        </w:rPr>
        <w:t>educa</w:t>
      </w:r>
      <w:r>
        <w:rPr>
          <w:rFonts w:ascii="Arial" w:hAnsi="Arial" w:cs="Arial"/>
        </w:rPr>
        <w:t xml:space="preserve">tion and surveys to </w:t>
      </w:r>
      <w:r w:rsidR="0011067F">
        <w:rPr>
          <w:rFonts w:ascii="Arial" w:hAnsi="Arial" w:cs="Arial"/>
        </w:rPr>
        <w:t>compl</w:t>
      </w:r>
      <w:r w:rsidR="00987C97">
        <w:rPr>
          <w:rFonts w:ascii="Arial" w:hAnsi="Arial" w:cs="Arial"/>
        </w:rPr>
        <w:t>e</w:t>
      </w:r>
      <w:r w:rsidR="0011067F">
        <w:rPr>
          <w:rFonts w:ascii="Arial" w:hAnsi="Arial" w:cs="Arial"/>
        </w:rPr>
        <w:t xml:space="preserve">ment </w:t>
      </w:r>
      <w:r w:rsidR="00987C97">
        <w:rPr>
          <w:rFonts w:ascii="Arial" w:hAnsi="Arial" w:cs="Arial"/>
        </w:rPr>
        <w:t xml:space="preserve">publications of </w:t>
      </w:r>
      <w:r w:rsidR="0011067F">
        <w:rPr>
          <w:rFonts w:ascii="Arial" w:hAnsi="Arial" w:cs="Arial"/>
        </w:rPr>
        <w:t xml:space="preserve">the </w:t>
      </w:r>
      <w:proofErr w:type="spellStart"/>
      <w:r w:rsidR="00476827">
        <w:rPr>
          <w:rFonts w:ascii="Arial" w:hAnsi="Arial" w:cs="Arial"/>
        </w:rPr>
        <w:t>SCoC</w:t>
      </w:r>
      <w:proofErr w:type="spellEnd"/>
      <w:r w:rsidR="0011067F">
        <w:rPr>
          <w:rFonts w:ascii="Arial" w:hAnsi="Arial" w:cs="Arial"/>
        </w:rPr>
        <w:t xml:space="preserve"> </w:t>
      </w:r>
      <w:r w:rsidRPr="00690F06">
        <w:rPr>
          <w:rFonts w:ascii="Arial" w:hAnsi="Arial" w:cs="Arial"/>
        </w:rPr>
        <w:t xml:space="preserve">would be modest and </w:t>
      </w:r>
      <w:r>
        <w:rPr>
          <w:rFonts w:ascii="Arial" w:hAnsi="Arial" w:cs="Arial"/>
        </w:rPr>
        <w:t>these costs are</w:t>
      </w:r>
      <w:r w:rsidRPr="00690F06">
        <w:rPr>
          <w:rFonts w:ascii="Arial" w:hAnsi="Arial" w:cs="Arial"/>
        </w:rPr>
        <w:t xml:space="preserve"> expected </w:t>
      </w:r>
      <w:r>
        <w:rPr>
          <w:rFonts w:ascii="Arial" w:hAnsi="Arial" w:cs="Arial"/>
        </w:rPr>
        <w:t>to</w:t>
      </w:r>
      <w:r w:rsidRPr="00690F06">
        <w:rPr>
          <w:rFonts w:ascii="Arial" w:hAnsi="Arial" w:cs="Arial"/>
        </w:rPr>
        <w:t xml:space="preserve"> be absorbed by the ACCC.</w:t>
      </w:r>
    </w:p>
    <w:p w:rsidR="00AA6F25" w:rsidRDefault="00AA6F25" w:rsidP="00AA6F25">
      <w:pPr>
        <w:spacing w:after="240"/>
        <w:rPr>
          <w:rFonts w:ascii="Arial" w:hAnsi="Arial" w:cs="Arial"/>
        </w:rPr>
      </w:pPr>
      <w:r w:rsidRPr="00690F06">
        <w:rPr>
          <w:rFonts w:ascii="Arial" w:hAnsi="Arial" w:cs="Arial"/>
        </w:rPr>
        <w:t xml:space="preserve">It is unclear if </w:t>
      </w:r>
      <w:r w:rsidR="00C972D5">
        <w:rPr>
          <w:rFonts w:ascii="Arial" w:hAnsi="Arial" w:cs="Arial"/>
        </w:rPr>
        <w:t>maintaining the status quo</w:t>
      </w:r>
      <w:r>
        <w:rPr>
          <w:rFonts w:ascii="Arial" w:hAnsi="Arial" w:cs="Arial"/>
        </w:rPr>
        <w:t xml:space="preserve"> </w:t>
      </w:r>
      <w:r w:rsidR="00C972D5">
        <w:rPr>
          <w:rFonts w:ascii="Arial" w:hAnsi="Arial" w:cs="Arial"/>
        </w:rPr>
        <w:t>combined</w:t>
      </w:r>
      <w:r>
        <w:rPr>
          <w:rFonts w:ascii="Arial" w:hAnsi="Arial" w:cs="Arial"/>
        </w:rPr>
        <w:t xml:space="preserve"> with supplier education</w:t>
      </w:r>
      <w:r w:rsidRPr="00690F06">
        <w:rPr>
          <w:rFonts w:ascii="Arial" w:hAnsi="Arial" w:cs="Arial"/>
        </w:rPr>
        <w:t xml:space="preserve"> </w:t>
      </w:r>
      <w:r w:rsidR="008F7B4F">
        <w:rPr>
          <w:rFonts w:ascii="Arial" w:hAnsi="Arial" w:cs="Arial"/>
        </w:rPr>
        <w:t>is likely to</w:t>
      </w:r>
      <w:r w:rsidRPr="00690F06">
        <w:rPr>
          <w:rFonts w:ascii="Arial" w:hAnsi="Arial" w:cs="Arial"/>
        </w:rPr>
        <w:t xml:space="preserve"> </w:t>
      </w:r>
      <w:r>
        <w:rPr>
          <w:rFonts w:ascii="Arial" w:hAnsi="Arial" w:cs="Arial"/>
        </w:rPr>
        <w:t>reduce</w:t>
      </w:r>
      <w:r w:rsidRPr="00690F06">
        <w:rPr>
          <w:rFonts w:ascii="Arial" w:hAnsi="Arial" w:cs="Arial"/>
        </w:rPr>
        <w:t xml:space="preserve"> the use of hazardous azo dyes in direct and prolonged contact articles </w:t>
      </w:r>
      <w:r>
        <w:rPr>
          <w:rFonts w:ascii="Arial" w:hAnsi="Arial" w:cs="Arial"/>
        </w:rPr>
        <w:t xml:space="preserve">sufficiently </w:t>
      </w:r>
      <w:r w:rsidRPr="00690F06">
        <w:rPr>
          <w:rFonts w:ascii="Arial" w:hAnsi="Arial" w:cs="Arial"/>
        </w:rPr>
        <w:t>to restore consumer confidence</w:t>
      </w:r>
      <w:r>
        <w:rPr>
          <w:rFonts w:ascii="Arial" w:hAnsi="Arial" w:cs="Arial"/>
        </w:rPr>
        <w:t xml:space="preserve"> in the safety of these products</w:t>
      </w:r>
      <w:r w:rsidRPr="00690F06">
        <w:rPr>
          <w:rFonts w:ascii="Arial" w:hAnsi="Arial" w:cs="Arial"/>
        </w:rPr>
        <w:t xml:space="preserve">. Consequently, some stakeholders may see this </w:t>
      </w:r>
      <w:r>
        <w:rPr>
          <w:rFonts w:ascii="Arial" w:hAnsi="Arial" w:cs="Arial"/>
        </w:rPr>
        <w:t xml:space="preserve">option </w:t>
      </w:r>
      <w:r w:rsidRPr="00690F06">
        <w:rPr>
          <w:rFonts w:ascii="Arial" w:hAnsi="Arial" w:cs="Arial"/>
        </w:rPr>
        <w:t>as an inadequate response.</w:t>
      </w:r>
    </w:p>
    <w:p w:rsidR="001818E6" w:rsidRDefault="001818E6" w:rsidP="00AA6F25">
      <w:pPr>
        <w:spacing w:after="240"/>
        <w:rPr>
          <w:rFonts w:ascii="Arial" w:hAnsi="Arial" w:cs="Arial"/>
        </w:rPr>
      </w:pPr>
      <w:r w:rsidRPr="00E82165">
        <w:rPr>
          <w:rFonts w:ascii="Arial" w:hAnsi="Arial" w:cs="Arial"/>
        </w:rPr>
        <w:t>A regulatory burden and cost offset estimate (RBCOE) table must be populated and reproduced</w:t>
      </w:r>
      <w:r>
        <w:rPr>
          <w:rFonts w:ascii="Arial" w:hAnsi="Arial" w:cs="Arial"/>
        </w:rPr>
        <w:t xml:space="preserve"> for every viable option in a RIS. Table 5.1 sets out the RBCOE for this option.</w:t>
      </w:r>
    </w:p>
    <w:p w:rsidR="001818E6" w:rsidRPr="00D330EE" w:rsidRDefault="001818E6" w:rsidP="00D330EE">
      <w:pPr>
        <w:keepNext/>
        <w:spacing w:after="120"/>
        <w:rPr>
          <w:rFonts w:ascii="Arial" w:hAnsi="Arial" w:cs="Arial"/>
          <w:b/>
        </w:rPr>
      </w:pPr>
      <w:r w:rsidRPr="00D330EE">
        <w:rPr>
          <w:rFonts w:ascii="Arial" w:hAnsi="Arial" w:cs="Arial"/>
          <w:b/>
        </w:rPr>
        <w:lastRenderedPageBreak/>
        <w:t>Table 5.1: Regulatory burden and cost offset estimate for option 2</w:t>
      </w:r>
    </w:p>
    <w:tbl>
      <w:tblPr>
        <w:tblStyle w:val="LightGrid-Accent21"/>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8"/>
        <w:gridCol w:w="1646"/>
        <w:gridCol w:w="2170"/>
        <w:gridCol w:w="1946"/>
        <w:gridCol w:w="1574"/>
      </w:tblGrid>
      <w:tr w:rsidR="00B12B2A" w:rsidRPr="00B12B2A" w:rsidTr="00D330E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464" w:type="dxa"/>
            <w:gridSpan w:val="5"/>
            <w:shd w:val="clear" w:color="auto" w:fill="auto"/>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Average annual regulatory costs (from business as usual)</w:t>
            </w:r>
          </w:p>
        </w:tc>
      </w:tr>
      <w:tr w:rsidR="00B12B2A" w:rsidRPr="00B12B2A" w:rsidTr="00D330EE">
        <w:trPr>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Change in costs ($million)</w:t>
            </w:r>
          </w:p>
        </w:tc>
        <w:tc>
          <w:tcPr>
            <w:tcW w:w="1646"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Business</w:t>
            </w:r>
          </w:p>
        </w:tc>
        <w:tc>
          <w:tcPr>
            <w:tcW w:w="2170"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Community Organisations</w:t>
            </w:r>
          </w:p>
        </w:tc>
        <w:tc>
          <w:tcPr>
            <w:tcW w:w="1946"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Individuals</w:t>
            </w:r>
          </w:p>
        </w:tc>
        <w:tc>
          <w:tcPr>
            <w:tcW w:w="1574"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Total change in cost</w:t>
            </w:r>
          </w:p>
        </w:tc>
      </w:tr>
      <w:tr w:rsidR="00B12B2A" w:rsidRPr="00B12B2A" w:rsidTr="00D330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Total, by sector</w:t>
            </w:r>
          </w:p>
        </w:tc>
        <w:tc>
          <w:tcPr>
            <w:tcW w:w="1646"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w:t>
            </w:r>
            <w:r w:rsidR="00211385">
              <w:rPr>
                <w:rFonts w:ascii="Arial" w:eastAsia="MS Gothic" w:hAnsi="Arial" w:cs="Arial"/>
                <w:bCs/>
                <w:sz w:val="18"/>
                <w:szCs w:val="18"/>
              </w:rPr>
              <w:t>0</w:t>
            </w:r>
          </w:p>
        </w:tc>
        <w:tc>
          <w:tcPr>
            <w:tcW w:w="2170"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946"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574"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w:t>
            </w:r>
            <w:r w:rsidR="00973FE6">
              <w:rPr>
                <w:rFonts w:ascii="Arial" w:eastAsia="MS Gothic" w:hAnsi="Arial" w:cs="Arial"/>
                <w:bCs/>
                <w:sz w:val="18"/>
                <w:szCs w:val="18"/>
              </w:rPr>
              <w:t>0</w:t>
            </w:r>
          </w:p>
        </w:tc>
      </w:tr>
      <w:tr w:rsidR="00B12B2A" w:rsidRPr="00B12B2A" w:rsidTr="00D330EE">
        <w:trPr>
          <w:trHeight w:val="300"/>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B12B2A" w:rsidRPr="00B12B2A" w:rsidRDefault="00B12B2A" w:rsidP="00D330EE">
            <w:pPr>
              <w:keepNext/>
              <w:rPr>
                <w:rFonts w:ascii="Arial" w:hAnsi="Arial" w:cs="Arial"/>
                <w:sz w:val="18"/>
                <w:szCs w:val="18"/>
              </w:rPr>
            </w:pPr>
          </w:p>
        </w:tc>
      </w:tr>
      <w:tr w:rsidR="00B12B2A" w:rsidRPr="00B12B2A" w:rsidTr="00D330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Cost offset ($ million)</w:t>
            </w:r>
          </w:p>
        </w:tc>
        <w:tc>
          <w:tcPr>
            <w:tcW w:w="1646"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Business</w:t>
            </w:r>
          </w:p>
        </w:tc>
        <w:tc>
          <w:tcPr>
            <w:tcW w:w="2170"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Community organisations</w:t>
            </w:r>
          </w:p>
        </w:tc>
        <w:tc>
          <w:tcPr>
            <w:tcW w:w="1946"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Individuals</w:t>
            </w:r>
          </w:p>
        </w:tc>
        <w:tc>
          <w:tcPr>
            <w:tcW w:w="1574"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 xml:space="preserve">Total, by source </w:t>
            </w:r>
          </w:p>
        </w:tc>
      </w:tr>
      <w:tr w:rsidR="00B12B2A" w:rsidRPr="00B12B2A" w:rsidTr="00D330EE">
        <w:trPr>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 xml:space="preserve">Agency </w:t>
            </w:r>
          </w:p>
        </w:tc>
        <w:tc>
          <w:tcPr>
            <w:tcW w:w="1646"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2170"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946"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574"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r>
      <w:tr w:rsidR="00B12B2A" w:rsidRPr="00B12B2A" w:rsidTr="00D330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Within portfolio</w:t>
            </w:r>
          </w:p>
        </w:tc>
        <w:tc>
          <w:tcPr>
            <w:tcW w:w="1646"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2170"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946"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574"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r>
      <w:tr w:rsidR="00B12B2A" w:rsidRPr="00B12B2A" w:rsidTr="00D330EE">
        <w:trPr>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Outside portfolio</w:t>
            </w:r>
          </w:p>
        </w:tc>
        <w:tc>
          <w:tcPr>
            <w:tcW w:w="1646"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2170"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946"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574"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w:t>
            </w:r>
            <w:r w:rsidR="00973FE6">
              <w:rPr>
                <w:rFonts w:ascii="Arial" w:eastAsia="MS Gothic" w:hAnsi="Arial" w:cs="Arial"/>
                <w:bCs/>
                <w:sz w:val="18"/>
                <w:szCs w:val="18"/>
              </w:rPr>
              <w:t>0</w:t>
            </w:r>
          </w:p>
        </w:tc>
      </w:tr>
      <w:tr w:rsidR="00B12B2A" w:rsidRPr="00B12B2A" w:rsidTr="00D330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Total by Sector</w:t>
            </w:r>
          </w:p>
        </w:tc>
        <w:tc>
          <w:tcPr>
            <w:tcW w:w="1646"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w:t>
            </w:r>
            <w:r w:rsidR="00211385">
              <w:rPr>
                <w:rFonts w:ascii="Arial" w:eastAsia="MS Gothic" w:hAnsi="Arial" w:cs="Arial"/>
                <w:bCs/>
                <w:sz w:val="18"/>
                <w:szCs w:val="18"/>
              </w:rPr>
              <w:t>0</w:t>
            </w:r>
          </w:p>
        </w:tc>
        <w:tc>
          <w:tcPr>
            <w:tcW w:w="2170"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946"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574"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w:t>
            </w:r>
            <w:r w:rsidR="00973FE6">
              <w:rPr>
                <w:rFonts w:ascii="Arial" w:eastAsia="MS Gothic" w:hAnsi="Arial" w:cs="Arial"/>
                <w:bCs/>
                <w:sz w:val="18"/>
                <w:szCs w:val="18"/>
              </w:rPr>
              <w:t>0</w:t>
            </w:r>
          </w:p>
        </w:tc>
      </w:tr>
      <w:tr w:rsidR="00B12B2A" w:rsidRPr="00B12B2A" w:rsidTr="00D330EE">
        <w:trPr>
          <w:trHeight w:val="300"/>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 xml:space="preserve">Are all new costs offset? </w:t>
            </w:r>
          </w:p>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sym w:font="Wingdings 2" w:char="F052"/>
            </w:r>
            <w:r w:rsidRPr="00B12B2A">
              <w:rPr>
                <w:rFonts w:ascii="Arial" w:hAnsi="Arial" w:cs="Arial"/>
                <w:sz w:val="18"/>
                <w:szCs w:val="18"/>
              </w:rPr>
              <w:t xml:space="preserve"> Yes, costs are offset  </w:t>
            </w:r>
            <w:r w:rsidRPr="00B12B2A">
              <w:rPr>
                <w:rFonts w:ascii="Arial" w:hAnsi="Arial" w:cs="Arial"/>
                <w:sz w:val="18"/>
                <w:szCs w:val="18"/>
              </w:rPr>
              <w:sym w:font="Wingdings 2" w:char="F02A"/>
            </w:r>
            <w:r w:rsidRPr="00B12B2A">
              <w:rPr>
                <w:rFonts w:ascii="Arial" w:hAnsi="Arial" w:cs="Arial"/>
                <w:sz w:val="18"/>
                <w:szCs w:val="18"/>
              </w:rPr>
              <w:t xml:space="preserve"> No, costs are not offset  </w:t>
            </w:r>
            <w:r w:rsidRPr="00B12B2A">
              <w:rPr>
                <w:rFonts w:ascii="Arial" w:hAnsi="Arial" w:cs="Arial"/>
                <w:sz w:val="18"/>
                <w:szCs w:val="18"/>
              </w:rPr>
              <w:sym w:font="Wingdings 2" w:char="F02A"/>
            </w:r>
            <w:r w:rsidRPr="00B12B2A">
              <w:rPr>
                <w:rFonts w:ascii="Arial" w:hAnsi="Arial" w:cs="Arial"/>
                <w:sz w:val="18"/>
                <w:szCs w:val="18"/>
              </w:rPr>
              <w:t xml:space="preserve"> Deregulatory—no offsets required</w:t>
            </w:r>
          </w:p>
        </w:tc>
      </w:tr>
      <w:tr w:rsidR="00B12B2A" w:rsidRPr="00B12B2A" w:rsidTr="00D33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5"/>
            <w:tcBorders>
              <w:top w:val="none" w:sz="0" w:space="0" w:color="auto"/>
              <w:left w:val="none" w:sz="0" w:space="0" w:color="auto"/>
              <w:bottom w:val="none" w:sz="0" w:space="0" w:color="auto"/>
              <w:right w:val="none" w:sz="0" w:space="0" w:color="auto"/>
            </w:tcBorders>
          </w:tcPr>
          <w:p w:rsidR="00B12B2A" w:rsidRPr="00B12B2A" w:rsidRDefault="00B12B2A" w:rsidP="00B12B2A">
            <w:pPr>
              <w:spacing w:before="120" w:after="120"/>
              <w:rPr>
                <w:rFonts w:ascii="Arial" w:hAnsi="Arial" w:cs="Arial"/>
                <w:sz w:val="18"/>
                <w:szCs w:val="18"/>
              </w:rPr>
            </w:pPr>
            <w:r w:rsidRPr="00B12B2A">
              <w:rPr>
                <w:rFonts w:ascii="Arial" w:hAnsi="Arial" w:cs="Arial"/>
                <w:sz w:val="18"/>
                <w:szCs w:val="18"/>
              </w:rPr>
              <w:t>Total (Change in costs – Cost offset) ($million) = $0</w:t>
            </w:r>
          </w:p>
        </w:tc>
      </w:tr>
    </w:tbl>
    <w:p w:rsidR="00B12B2A" w:rsidRDefault="00B12B2A" w:rsidP="00AA6F25">
      <w:pPr>
        <w:spacing w:after="240"/>
        <w:rPr>
          <w:rFonts w:ascii="Arial" w:hAnsi="Arial" w:cs="Arial"/>
        </w:rPr>
      </w:pPr>
    </w:p>
    <w:p w:rsidR="00AA6F25" w:rsidRPr="009278D5" w:rsidRDefault="00AA6F25" w:rsidP="00AA6F25">
      <w:pPr>
        <w:pStyle w:val="Heading2"/>
        <w:spacing w:after="240"/>
        <w:ind w:left="709" w:hanging="709"/>
        <w:rPr>
          <w:rFonts w:ascii="Arial" w:hAnsi="Arial" w:cs="Arial"/>
        </w:rPr>
      </w:pPr>
      <w:bookmarkStart w:id="100" w:name="_Toc412196642"/>
      <w:r w:rsidRPr="009278D5">
        <w:rPr>
          <w:rFonts w:ascii="Arial" w:hAnsi="Arial" w:cs="Arial"/>
        </w:rPr>
        <w:t>5.3</w:t>
      </w:r>
      <w:r w:rsidRPr="009278D5">
        <w:rPr>
          <w:rFonts w:ascii="Arial" w:hAnsi="Arial" w:cs="Arial"/>
        </w:rPr>
        <w:tab/>
        <w:t>Option 3: Regulation via a mandatory safety standard or permanent ban</w:t>
      </w:r>
      <w:bookmarkEnd w:id="100"/>
    </w:p>
    <w:p w:rsidR="00AA6F25" w:rsidRPr="00690F06" w:rsidRDefault="00AA6F25" w:rsidP="00840A43">
      <w:pPr>
        <w:keepNext/>
        <w:spacing w:after="240"/>
        <w:rPr>
          <w:rFonts w:ascii="Arial" w:hAnsi="Arial" w:cs="Arial"/>
          <w:b/>
          <w:i/>
        </w:rPr>
      </w:pPr>
      <w:r w:rsidRPr="00690F06">
        <w:rPr>
          <w:rFonts w:ascii="Arial" w:hAnsi="Arial" w:cs="Arial"/>
          <w:b/>
          <w:i/>
        </w:rPr>
        <w:t>Benefits</w:t>
      </w:r>
    </w:p>
    <w:p w:rsidR="00594E2C" w:rsidRDefault="00AA6F25" w:rsidP="00594E2C">
      <w:pPr>
        <w:spacing w:before="240" w:after="240"/>
        <w:rPr>
          <w:rFonts w:ascii="Arial" w:hAnsi="Arial" w:cs="Arial"/>
        </w:rPr>
      </w:pPr>
      <w:r w:rsidRPr="00690F06">
        <w:rPr>
          <w:rFonts w:ascii="Arial" w:hAnsi="Arial" w:cs="Arial"/>
        </w:rPr>
        <w:t xml:space="preserve">This option </w:t>
      </w:r>
      <w:r w:rsidR="003538A1">
        <w:rPr>
          <w:rFonts w:ascii="Arial" w:hAnsi="Arial" w:cs="Arial"/>
        </w:rPr>
        <w:t>is, of all the options presented, most likely to</w:t>
      </w:r>
      <w:r w:rsidRPr="00690F06">
        <w:rPr>
          <w:rFonts w:ascii="Arial" w:hAnsi="Arial" w:cs="Arial"/>
        </w:rPr>
        <w:t xml:space="preserve"> result in a complete</w:t>
      </w:r>
      <w:r>
        <w:rPr>
          <w:rFonts w:ascii="Arial" w:hAnsi="Arial" w:cs="Arial"/>
        </w:rPr>
        <w:t>, consistent and</w:t>
      </w:r>
      <w:r w:rsidRPr="00690F06">
        <w:rPr>
          <w:rFonts w:ascii="Arial" w:hAnsi="Arial" w:cs="Arial"/>
        </w:rPr>
        <w:t xml:space="preserve"> integrated set of controls </w:t>
      </w:r>
      <w:r>
        <w:rPr>
          <w:rFonts w:ascii="Arial" w:hAnsi="Arial" w:cs="Arial"/>
        </w:rPr>
        <w:t xml:space="preserve">that would </w:t>
      </w:r>
      <w:r w:rsidR="00A270DD">
        <w:rPr>
          <w:rFonts w:ascii="Arial" w:hAnsi="Arial" w:cs="Arial"/>
        </w:rPr>
        <w:t>provide an incentive for</w:t>
      </w:r>
      <w:r w:rsidRPr="00690F06">
        <w:rPr>
          <w:rFonts w:ascii="Arial" w:hAnsi="Arial" w:cs="Arial"/>
        </w:rPr>
        <w:t xml:space="preserve"> </w:t>
      </w:r>
      <w:r>
        <w:rPr>
          <w:rFonts w:ascii="Arial" w:hAnsi="Arial" w:cs="Arial"/>
        </w:rPr>
        <w:t xml:space="preserve">suppliers to </w:t>
      </w:r>
      <w:r w:rsidR="003538A1">
        <w:rPr>
          <w:rFonts w:ascii="Arial" w:hAnsi="Arial" w:cs="Arial"/>
        </w:rPr>
        <w:t xml:space="preserve">take steps to </w:t>
      </w:r>
      <w:r w:rsidRPr="00690F06">
        <w:rPr>
          <w:rFonts w:ascii="Arial" w:hAnsi="Arial" w:cs="Arial"/>
        </w:rPr>
        <w:t>eliminat</w:t>
      </w:r>
      <w:r w:rsidR="003538A1">
        <w:rPr>
          <w:rFonts w:ascii="Arial" w:hAnsi="Arial" w:cs="Arial"/>
        </w:rPr>
        <w:t>e the use</w:t>
      </w:r>
      <w:r w:rsidRPr="00690F06">
        <w:rPr>
          <w:rFonts w:ascii="Arial" w:hAnsi="Arial" w:cs="Arial"/>
        </w:rPr>
        <w:t xml:space="preserve"> of </w:t>
      </w:r>
      <w:r w:rsidRPr="00594E2C">
        <w:rPr>
          <w:rFonts w:ascii="Arial" w:hAnsi="Arial" w:cs="Arial"/>
        </w:rPr>
        <w:t xml:space="preserve">hazardous azo dyes in </w:t>
      </w:r>
      <w:r w:rsidR="003538A1" w:rsidRPr="00594E2C">
        <w:rPr>
          <w:rFonts w:ascii="Arial" w:hAnsi="Arial" w:cs="Arial"/>
        </w:rPr>
        <w:t>direct and prolonged contact articles</w:t>
      </w:r>
      <w:r w:rsidRPr="00594E2C">
        <w:rPr>
          <w:rFonts w:ascii="Arial" w:hAnsi="Arial" w:cs="Arial"/>
        </w:rPr>
        <w:t xml:space="preserve"> that they supply. </w:t>
      </w:r>
      <w:r w:rsidR="00594E2C" w:rsidRPr="00594E2C">
        <w:rPr>
          <w:rFonts w:ascii="Arial" w:hAnsi="Arial" w:cs="Arial"/>
        </w:rPr>
        <w:t xml:space="preserve">This is because regulation would likely </w:t>
      </w:r>
      <w:r w:rsidR="00A270DD">
        <w:rPr>
          <w:rFonts w:ascii="Arial" w:hAnsi="Arial" w:cs="Arial"/>
        </w:rPr>
        <w:t>provide an incentive for</w:t>
      </w:r>
      <w:r w:rsidR="00594E2C" w:rsidRPr="00594E2C">
        <w:rPr>
          <w:rFonts w:ascii="Arial" w:hAnsi="Arial" w:cs="Arial"/>
        </w:rPr>
        <w:t xml:space="preserve"> suppliers to adopt some form of enhanced supply chain vigilance as they may face penalties for breach of regulation. The maximum penalties for breaching a safety standard or permanent ban are significant.</w:t>
      </w:r>
      <w:r w:rsidR="00594E2C" w:rsidRPr="00594E2C">
        <w:rPr>
          <w:rStyle w:val="FootnoteReference"/>
          <w:rFonts w:ascii="Arial" w:hAnsi="Arial" w:cs="Arial"/>
        </w:rPr>
        <w:footnoteReference w:id="51"/>
      </w:r>
    </w:p>
    <w:p w:rsidR="00AA6F25" w:rsidRDefault="00AA6F25" w:rsidP="00AA6F25">
      <w:pPr>
        <w:spacing w:after="240"/>
        <w:rPr>
          <w:rFonts w:ascii="Arial" w:hAnsi="Arial" w:cs="Arial"/>
        </w:rPr>
      </w:pPr>
      <w:r w:rsidRPr="00690F06">
        <w:rPr>
          <w:rFonts w:ascii="Arial" w:hAnsi="Arial" w:cs="Arial"/>
        </w:rPr>
        <w:t>When compared to other options, regulatory theory suggests this option could be expected to be effective across the widest number of businesses in addressing the problem and lowering the risk of exposure</w:t>
      </w:r>
      <w:r>
        <w:rPr>
          <w:rFonts w:ascii="Arial" w:hAnsi="Arial" w:cs="Arial"/>
        </w:rPr>
        <w:t>.</w:t>
      </w:r>
      <w:r w:rsidRPr="00690F06">
        <w:rPr>
          <w:rFonts w:ascii="Arial" w:hAnsi="Arial" w:cs="Arial"/>
        </w:rPr>
        <w:t xml:space="preserve"> </w:t>
      </w:r>
      <w:r>
        <w:rPr>
          <w:rFonts w:ascii="Arial" w:hAnsi="Arial" w:cs="Arial"/>
        </w:rPr>
        <w:t xml:space="preserve">This is because </w:t>
      </w:r>
      <w:r w:rsidRPr="00690F06">
        <w:rPr>
          <w:rFonts w:ascii="Arial" w:hAnsi="Arial" w:cs="Arial"/>
        </w:rPr>
        <w:t xml:space="preserve">it provides </w:t>
      </w:r>
      <w:r w:rsidR="003F50CB">
        <w:rPr>
          <w:rFonts w:ascii="Arial" w:hAnsi="Arial" w:cs="Arial"/>
        </w:rPr>
        <w:t>specific remedies including penalties for dealing with</w:t>
      </w:r>
      <w:r w:rsidRPr="00690F06">
        <w:rPr>
          <w:rFonts w:ascii="Arial" w:hAnsi="Arial" w:cs="Arial"/>
        </w:rPr>
        <w:t xml:space="preserve"> non-compliance.</w:t>
      </w:r>
      <w:r>
        <w:rPr>
          <w:rFonts w:ascii="Arial" w:hAnsi="Arial" w:cs="Arial"/>
        </w:rPr>
        <w:t xml:space="preserve"> </w:t>
      </w:r>
      <w:r w:rsidRPr="00690F06">
        <w:rPr>
          <w:rFonts w:ascii="Arial" w:hAnsi="Arial" w:cs="Arial"/>
        </w:rPr>
        <w:t>However, it may still take time for whole</w:t>
      </w:r>
      <w:r>
        <w:rPr>
          <w:rFonts w:ascii="Arial" w:hAnsi="Arial" w:cs="Arial"/>
        </w:rPr>
        <w:t>-</w:t>
      </w:r>
      <w:r w:rsidRPr="00690F06">
        <w:rPr>
          <w:rFonts w:ascii="Arial" w:hAnsi="Arial" w:cs="Arial"/>
        </w:rPr>
        <w:t>of</w:t>
      </w:r>
      <w:r>
        <w:rPr>
          <w:rFonts w:ascii="Arial" w:hAnsi="Arial" w:cs="Arial"/>
        </w:rPr>
        <w:t>-</w:t>
      </w:r>
      <w:r w:rsidRPr="00690F06">
        <w:rPr>
          <w:rFonts w:ascii="Arial" w:hAnsi="Arial" w:cs="Arial"/>
        </w:rPr>
        <w:t>industry practices to change sufficiently so that detections do not occur</w:t>
      </w:r>
      <w:r>
        <w:rPr>
          <w:rFonts w:ascii="Arial" w:hAnsi="Arial" w:cs="Arial"/>
        </w:rPr>
        <w:t>.</w:t>
      </w:r>
      <w:r w:rsidR="00F57230">
        <w:rPr>
          <w:rStyle w:val="FootnoteReference"/>
          <w:rFonts w:ascii="Arial" w:hAnsi="Arial" w:cs="Arial"/>
        </w:rPr>
        <w:footnoteReference w:id="52"/>
      </w:r>
    </w:p>
    <w:p w:rsidR="00594E2C" w:rsidRPr="00594E2C" w:rsidRDefault="00594E2C" w:rsidP="00594E2C">
      <w:pPr>
        <w:spacing w:before="240" w:after="240"/>
        <w:rPr>
          <w:rFonts w:ascii="Arial" w:hAnsi="Arial" w:cs="Arial"/>
        </w:rPr>
      </w:pPr>
      <w:r w:rsidRPr="00594E2C">
        <w:rPr>
          <w:rFonts w:ascii="Arial" w:hAnsi="Arial" w:cs="Arial"/>
        </w:rPr>
        <w:t xml:space="preserve">Australian suppliers would have choices about how they enhance their supply chain vigilance. They could generally improve compliance processes, institute supply chain auditing, implement product testing prior to offering products for sale or negotiate contracts with manufacturers </w:t>
      </w:r>
      <w:r w:rsidR="00B94458">
        <w:rPr>
          <w:rFonts w:ascii="Arial" w:hAnsi="Arial" w:cs="Arial"/>
        </w:rPr>
        <w:t>that</w:t>
      </w:r>
      <w:r w:rsidRPr="00594E2C">
        <w:rPr>
          <w:rFonts w:ascii="Arial" w:hAnsi="Arial" w:cs="Arial"/>
        </w:rPr>
        <w:t xml:space="preserve"> fully encourage the sourcing and use of safe components. </w:t>
      </w:r>
    </w:p>
    <w:p w:rsidR="00AA6F25" w:rsidRPr="00EB5DC9" w:rsidRDefault="00AA6F25" w:rsidP="00AA6F25">
      <w:pPr>
        <w:spacing w:after="240"/>
        <w:rPr>
          <w:rFonts w:ascii="Arial" w:hAnsi="Arial" w:cs="Arial"/>
        </w:rPr>
      </w:pPr>
      <w:r w:rsidRPr="00690F06">
        <w:rPr>
          <w:rFonts w:ascii="Arial" w:hAnsi="Arial" w:cs="Arial"/>
        </w:rPr>
        <w:lastRenderedPageBreak/>
        <w:t>Under th</w:t>
      </w:r>
      <w:r>
        <w:rPr>
          <w:rFonts w:ascii="Arial" w:hAnsi="Arial" w:cs="Arial"/>
        </w:rPr>
        <w:t>is</w:t>
      </w:r>
      <w:r w:rsidRPr="00690F06">
        <w:rPr>
          <w:rFonts w:ascii="Arial" w:hAnsi="Arial" w:cs="Arial"/>
        </w:rPr>
        <w:t xml:space="preserve"> regulatory option all suppliers</w:t>
      </w:r>
      <w:r w:rsidR="00476827">
        <w:rPr>
          <w:rFonts w:ascii="Arial" w:hAnsi="Arial" w:cs="Arial"/>
        </w:rPr>
        <w:t xml:space="preserve"> of the Australian market</w:t>
      </w:r>
      <w:r w:rsidRPr="00690F06">
        <w:rPr>
          <w:rFonts w:ascii="Arial" w:hAnsi="Arial" w:cs="Arial"/>
        </w:rPr>
        <w:t xml:space="preserve">, regardless of their size, </w:t>
      </w:r>
      <w:r w:rsidR="005C377F">
        <w:rPr>
          <w:rFonts w:ascii="Arial" w:hAnsi="Arial" w:cs="Arial"/>
        </w:rPr>
        <w:t>would need to</w:t>
      </w:r>
      <w:r w:rsidRPr="00690F06">
        <w:rPr>
          <w:rFonts w:ascii="Arial" w:hAnsi="Arial" w:cs="Arial"/>
        </w:rPr>
        <w:t xml:space="preserve"> meet the </w:t>
      </w:r>
      <w:r>
        <w:rPr>
          <w:rFonts w:ascii="Arial" w:hAnsi="Arial" w:cs="Arial"/>
        </w:rPr>
        <w:t xml:space="preserve">same </w:t>
      </w:r>
      <w:r w:rsidRPr="00690F06">
        <w:rPr>
          <w:rFonts w:ascii="Arial" w:hAnsi="Arial" w:cs="Arial"/>
        </w:rPr>
        <w:t>requirements. Suppliers will know that their competitors face the same regulatory regime. Assuming business</w:t>
      </w:r>
      <w:r w:rsidR="00623744">
        <w:rPr>
          <w:rFonts w:ascii="Arial" w:hAnsi="Arial" w:cs="Arial"/>
        </w:rPr>
        <w:t>es</w:t>
      </w:r>
      <w:r w:rsidRPr="00690F06">
        <w:rPr>
          <w:rFonts w:ascii="Arial" w:hAnsi="Arial" w:cs="Arial"/>
        </w:rPr>
        <w:t xml:space="preserve"> ensure products are within the limits prescribed in regulation</w:t>
      </w:r>
      <w:r w:rsidR="00623744">
        <w:rPr>
          <w:rFonts w:ascii="Arial" w:hAnsi="Arial" w:cs="Arial"/>
        </w:rPr>
        <w:t>,</w:t>
      </w:r>
      <w:r w:rsidRPr="00690F06">
        <w:rPr>
          <w:rFonts w:ascii="Arial" w:hAnsi="Arial" w:cs="Arial"/>
        </w:rPr>
        <w:t xml:space="preserve"> the risk of </w:t>
      </w:r>
      <w:r w:rsidR="003538A1">
        <w:rPr>
          <w:rFonts w:ascii="Arial" w:hAnsi="Arial" w:cs="Arial"/>
        </w:rPr>
        <w:t xml:space="preserve">consumer </w:t>
      </w:r>
      <w:r w:rsidRPr="00690F06">
        <w:rPr>
          <w:rFonts w:ascii="Arial" w:hAnsi="Arial" w:cs="Arial"/>
        </w:rPr>
        <w:t xml:space="preserve">exposure to carcinogens should be </w:t>
      </w:r>
      <w:r w:rsidR="00987C97">
        <w:rPr>
          <w:rFonts w:ascii="Arial" w:hAnsi="Arial" w:cs="Arial"/>
        </w:rPr>
        <w:t xml:space="preserve">practically </w:t>
      </w:r>
      <w:r w:rsidRPr="00690F06">
        <w:rPr>
          <w:rFonts w:ascii="Arial" w:hAnsi="Arial" w:cs="Arial"/>
        </w:rPr>
        <w:t>eliminated</w:t>
      </w:r>
      <w:r w:rsidRPr="00A6653B">
        <w:rPr>
          <w:rFonts w:ascii="Arial" w:hAnsi="Arial" w:cs="Arial"/>
        </w:rPr>
        <w:t>.</w:t>
      </w:r>
    </w:p>
    <w:p w:rsidR="00AA6F25" w:rsidRDefault="00AA6F25" w:rsidP="00AA6F25">
      <w:pPr>
        <w:spacing w:after="240"/>
        <w:rPr>
          <w:rFonts w:ascii="Arial" w:hAnsi="Arial" w:cs="Arial"/>
        </w:rPr>
      </w:pPr>
      <w:r>
        <w:rPr>
          <w:rFonts w:ascii="Arial" w:hAnsi="Arial" w:cs="Arial"/>
        </w:rPr>
        <w:t xml:space="preserve">Under this option, the ACCC would include a link to the Federal Register of Legislative Instruments and a plain English explanation of the regulation on the Product Safety Australia website. This would make the regulation </w:t>
      </w:r>
      <w:r w:rsidR="00E96759">
        <w:rPr>
          <w:rFonts w:ascii="Arial" w:hAnsi="Arial" w:cs="Arial"/>
        </w:rPr>
        <w:t xml:space="preserve">readily </w:t>
      </w:r>
      <w:r>
        <w:rPr>
          <w:rFonts w:ascii="Arial" w:hAnsi="Arial" w:cs="Arial"/>
        </w:rPr>
        <w:t xml:space="preserve">accessible to consumers and </w:t>
      </w:r>
      <w:r w:rsidR="00D079E7">
        <w:rPr>
          <w:rFonts w:ascii="Arial" w:hAnsi="Arial" w:cs="Arial"/>
        </w:rPr>
        <w:t xml:space="preserve">both </w:t>
      </w:r>
      <w:r>
        <w:rPr>
          <w:rFonts w:ascii="Arial" w:hAnsi="Arial" w:cs="Arial"/>
        </w:rPr>
        <w:t>new</w:t>
      </w:r>
      <w:r w:rsidR="00D079E7">
        <w:rPr>
          <w:rFonts w:ascii="Arial" w:hAnsi="Arial" w:cs="Arial"/>
        </w:rPr>
        <w:t xml:space="preserve"> and existing</w:t>
      </w:r>
      <w:r>
        <w:rPr>
          <w:rFonts w:ascii="Arial" w:hAnsi="Arial" w:cs="Arial"/>
        </w:rPr>
        <w:t xml:space="preserve"> suppliers of direct and prolonged contact articles.</w:t>
      </w:r>
    </w:p>
    <w:p w:rsidR="00AA6F25" w:rsidRDefault="00AA6F25" w:rsidP="00AA6F25">
      <w:pPr>
        <w:spacing w:after="240"/>
        <w:rPr>
          <w:rFonts w:ascii="Arial" w:hAnsi="Arial" w:cs="Arial"/>
        </w:rPr>
      </w:pPr>
      <w:r w:rsidRPr="00690F06">
        <w:rPr>
          <w:rFonts w:ascii="Arial" w:hAnsi="Arial" w:cs="Arial"/>
        </w:rPr>
        <w:t xml:space="preserve">If exposure to carcinogens is </w:t>
      </w:r>
      <w:r>
        <w:rPr>
          <w:rFonts w:ascii="Arial" w:hAnsi="Arial" w:cs="Arial"/>
        </w:rPr>
        <w:t xml:space="preserve">reduced or </w:t>
      </w:r>
      <w:r w:rsidRPr="00690F06">
        <w:rPr>
          <w:rFonts w:ascii="Arial" w:hAnsi="Arial" w:cs="Arial"/>
        </w:rPr>
        <w:t>eliminated</w:t>
      </w:r>
      <w:r w:rsidR="003F4C2E">
        <w:rPr>
          <w:rFonts w:ascii="Arial" w:hAnsi="Arial" w:cs="Arial"/>
        </w:rPr>
        <w:t xml:space="preserve"> under this option</w:t>
      </w:r>
      <w:r w:rsidRPr="00690F06">
        <w:rPr>
          <w:rFonts w:ascii="Arial" w:hAnsi="Arial" w:cs="Arial"/>
        </w:rPr>
        <w:t xml:space="preserve">, </w:t>
      </w:r>
      <w:r w:rsidR="003F4C2E">
        <w:rPr>
          <w:rFonts w:ascii="Arial" w:hAnsi="Arial" w:cs="Arial"/>
        </w:rPr>
        <w:t xml:space="preserve">there may be a fall in the number of cases of bladder cancer in Australia, and therefore a reduction in the economic burden of </w:t>
      </w:r>
      <w:r w:rsidR="0022374A">
        <w:rPr>
          <w:rFonts w:ascii="Arial" w:hAnsi="Arial" w:cs="Arial"/>
        </w:rPr>
        <w:t xml:space="preserve">bladder </w:t>
      </w:r>
      <w:r w:rsidR="003F4C2E">
        <w:rPr>
          <w:rFonts w:ascii="Arial" w:hAnsi="Arial" w:cs="Arial"/>
        </w:rPr>
        <w:t>cancer</w:t>
      </w:r>
      <w:r w:rsidR="00D079E7">
        <w:rPr>
          <w:rFonts w:ascii="Arial" w:hAnsi="Arial" w:cs="Arial"/>
        </w:rPr>
        <w:t xml:space="preserve"> (which has previously been identified to be $1 million per case)</w:t>
      </w:r>
      <w:r w:rsidR="003F4C2E">
        <w:rPr>
          <w:rFonts w:ascii="Arial" w:hAnsi="Arial" w:cs="Arial"/>
        </w:rPr>
        <w:t xml:space="preserve">. However it is not possible to estimate the number of avoided cases of </w:t>
      </w:r>
      <w:r w:rsidR="0022374A">
        <w:rPr>
          <w:rFonts w:ascii="Arial" w:hAnsi="Arial" w:cs="Arial"/>
        </w:rPr>
        <w:t xml:space="preserve">bladder </w:t>
      </w:r>
      <w:r w:rsidR="003F4C2E">
        <w:rPr>
          <w:rFonts w:ascii="Arial" w:hAnsi="Arial" w:cs="Arial"/>
        </w:rPr>
        <w:t>cancer under this option.</w:t>
      </w:r>
    </w:p>
    <w:p w:rsidR="00AA6F25" w:rsidRDefault="00AA6F25" w:rsidP="00AA6F25">
      <w:pPr>
        <w:spacing w:after="240"/>
        <w:rPr>
          <w:rFonts w:ascii="Arial" w:hAnsi="Arial" w:cs="Arial"/>
        </w:rPr>
      </w:pPr>
      <w:r w:rsidRPr="00690F06">
        <w:rPr>
          <w:rFonts w:ascii="Arial" w:hAnsi="Arial" w:cs="Arial"/>
        </w:rPr>
        <w:t>Following the announcement of recalls of clothing and textiles with unacceptably high levels of hazardous aromatic amines there was significant media interest with some stakeholders openly calling for government intervention. Regulation may have the additional benefit of restoring consumer confidence and allaying stakeholders concerns.</w:t>
      </w:r>
    </w:p>
    <w:p w:rsidR="00AA6F25" w:rsidRPr="00690F06" w:rsidRDefault="00AA6F25" w:rsidP="00AA6F25">
      <w:pPr>
        <w:spacing w:after="240"/>
        <w:rPr>
          <w:rFonts w:ascii="Arial" w:hAnsi="Arial" w:cs="Arial"/>
          <w:b/>
          <w:i/>
        </w:rPr>
      </w:pPr>
      <w:r w:rsidRPr="00690F06">
        <w:rPr>
          <w:rFonts w:ascii="Arial" w:hAnsi="Arial" w:cs="Arial"/>
          <w:b/>
          <w:i/>
        </w:rPr>
        <w:t>Costs</w:t>
      </w:r>
    </w:p>
    <w:p w:rsidR="00B17325" w:rsidRPr="004E4A6C" w:rsidRDefault="00961626" w:rsidP="00D019F9">
      <w:pPr>
        <w:spacing w:after="240"/>
        <w:rPr>
          <w:rFonts w:ascii="Arial" w:hAnsi="Arial" w:cs="Arial"/>
        </w:rPr>
      </w:pPr>
      <w:r w:rsidRPr="004E4A6C">
        <w:rPr>
          <w:rFonts w:ascii="Arial" w:hAnsi="Arial" w:cs="Arial"/>
        </w:rPr>
        <w:t xml:space="preserve">This option is likely to increase the incentives for suppliers to take steps to eliminate the use of hazardous azo dyes in direct and prolonged contact articles that they supply. </w:t>
      </w:r>
    </w:p>
    <w:p w:rsidR="00B17325" w:rsidRPr="004E4A6C" w:rsidRDefault="00B17325" w:rsidP="00B17325">
      <w:pPr>
        <w:spacing w:after="240"/>
        <w:rPr>
          <w:rFonts w:ascii="Arial" w:hAnsi="Arial" w:cs="Arial"/>
        </w:rPr>
      </w:pPr>
      <w:r w:rsidRPr="004E4A6C">
        <w:rPr>
          <w:rFonts w:ascii="Arial" w:hAnsi="Arial" w:cs="Arial"/>
        </w:rPr>
        <w:t>However, for those suppliers who currently have appropriate monitoring for azo dyes in their supply chain and end-products there is unlikely to be any significant additional cost. The ACCC is also aware that following the survey</w:t>
      </w:r>
      <w:r w:rsidR="00D079E7">
        <w:rPr>
          <w:rFonts w:ascii="Arial" w:hAnsi="Arial" w:cs="Arial"/>
        </w:rPr>
        <w:t>,</w:t>
      </w:r>
      <w:r w:rsidRPr="004E4A6C">
        <w:rPr>
          <w:rFonts w:ascii="Arial" w:hAnsi="Arial" w:cs="Arial"/>
        </w:rPr>
        <w:t xml:space="preserve"> a number of suppliers </w:t>
      </w:r>
      <w:proofErr w:type="gramStart"/>
      <w:r w:rsidRPr="004E4A6C">
        <w:rPr>
          <w:rFonts w:ascii="Arial" w:hAnsi="Arial" w:cs="Arial"/>
        </w:rPr>
        <w:t>have</w:t>
      </w:r>
      <w:proofErr w:type="gramEnd"/>
      <w:r w:rsidRPr="004E4A6C">
        <w:rPr>
          <w:rFonts w:ascii="Arial" w:hAnsi="Arial" w:cs="Arial"/>
        </w:rPr>
        <w:t xml:space="preserve"> already increased their effort in prevention or detection of the use of hazardous azo dyes in their products by conducting more testing. </w:t>
      </w:r>
    </w:p>
    <w:p w:rsidR="00B17325" w:rsidRPr="004E4A6C" w:rsidRDefault="00B17325" w:rsidP="00B17325">
      <w:pPr>
        <w:spacing w:after="240"/>
        <w:rPr>
          <w:rFonts w:ascii="Arial" w:hAnsi="Arial" w:cs="Arial"/>
        </w:rPr>
      </w:pPr>
      <w:r w:rsidRPr="00CD0275">
        <w:rPr>
          <w:rFonts w:ascii="Arial" w:hAnsi="Arial" w:cs="Arial"/>
        </w:rPr>
        <w:t>Despite being an additional cost to suppliers, this testing results in</w:t>
      </w:r>
      <w:r w:rsidR="0022374A" w:rsidRPr="00CD0275">
        <w:rPr>
          <w:rFonts w:ascii="Arial" w:hAnsi="Arial" w:cs="Arial"/>
        </w:rPr>
        <w:t xml:space="preserve"> </w:t>
      </w:r>
      <w:r w:rsidR="00220F93" w:rsidRPr="00CD0275">
        <w:rPr>
          <w:rFonts w:ascii="Arial" w:hAnsi="Arial" w:cs="Arial"/>
        </w:rPr>
        <w:t>reducing</w:t>
      </w:r>
      <w:r w:rsidR="0022374A" w:rsidRPr="00CD0275">
        <w:rPr>
          <w:rFonts w:ascii="Arial" w:hAnsi="Arial" w:cs="Arial"/>
        </w:rPr>
        <w:t xml:space="preserve"> or eliminat</w:t>
      </w:r>
      <w:r w:rsidR="00220F93" w:rsidRPr="00CD0275">
        <w:rPr>
          <w:rFonts w:ascii="Arial" w:hAnsi="Arial" w:cs="Arial"/>
        </w:rPr>
        <w:t>ing</w:t>
      </w:r>
      <w:r w:rsidR="0022374A" w:rsidRPr="00CD0275">
        <w:rPr>
          <w:rFonts w:ascii="Arial" w:hAnsi="Arial" w:cs="Arial"/>
        </w:rPr>
        <w:t xml:space="preserve"> consumer exposure to hazardous azo dyes</w:t>
      </w:r>
      <w:r w:rsidR="00CD0275" w:rsidRPr="00CD0275">
        <w:rPr>
          <w:rFonts w:ascii="Arial" w:hAnsi="Arial" w:cs="Arial"/>
        </w:rPr>
        <w:t>, which should improve consumer confidence and in turn should</w:t>
      </w:r>
      <w:r w:rsidR="0022374A" w:rsidRPr="00CD0275">
        <w:rPr>
          <w:rFonts w:ascii="Arial" w:hAnsi="Arial" w:cs="Arial"/>
        </w:rPr>
        <w:t xml:space="preserve"> ultimately bene</w:t>
      </w:r>
      <w:r w:rsidRPr="00CD0275">
        <w:rPr>
          <w:rFonts w:ascii="Arial" w:hAnsi="Arial" w:cs="Arial"/>
        </w:rPr>
        <w:t xml:space="preserve">fit </w:t>
      </w:r>
      <w:r w:rsidR="0022374A" w:rsidRPr="00CD0275">
        <w:rPr>
          <w:rFonts w:ascii="Arial" w:hAnsi="Arial" w:cs="Arial"/>
        </w:rPr>
        <w:t>the industry.</w:t>
      </w:r>
    </w:p>
    <w:p w:rsidR="00B17325" w:rsidRPr="004E4A6C" w:rsidRDefault="00B17325" w:rsidP="00B17325">
      <w:pPr>
        <w:spacing w:after="240"/>
        <w:rPr>
          <w:rFonts w:ascii="Arial" w:hAnsi="Arial" w:cs="Arial"/>
          <w:i/>
        </w:rPr>
      </w:pPr>
      <w:r w:rsidRPr="004E4A6C">
        <w:rPr>
          <w:rFonts w:ascii="Arial" w:hAnsi="Arial" w:cs="Arial"/>
          <w:i/>
        </w:rPr>
        <w:t>Current situation</w:t>
      </w:r>
    </w:p>
    <w:p w:rsidR="00B17325" w:rsidRPr="004E4A6C" w:rsidRDefault="00B17325" w:rsidP="00B17325">
      <w:pPr>
        <w:spacing w:after="240"/>
        <w:rPr>
          <w:rFonts w:ascii="Arial" w:hAnsi="Arial" w:cs="Arial"/>
        </w:rPr>
      </w:pPr>
      <w:r w:rsidRPr="004E4A6C">
        <w:rPr>
          <w:rFonts w:ascii="Arial" w:hAnsi="Arial" w:cs="Arial"/>
        </w:rPr>
        <w:t>A number of Australian suppliers reported they already specify to their manufacturers and sourcing agents that dyed articles must meet the EU requirements. The extent to which end product testing is undertaken to verify that specifications are being met would vary, but it is not routine for all businesses. The results of the recent ACCC survey indicated that at a point in time, the approach was not able to prevent all consumer exposure to articles dyed with hazardous azo dyes. The failure rate for the first tranche of testing (randomly selected articles) was approximately 3 per cent. Since then, more businesses have commenced routine end-product testing.</w:t>
      </w:r>
      <w:r w:rsidRPr="004E4A6C">
        <w:rPr>
          <w:rStyle w:val="FootnoteReference"/>
          <w:rFonts w:ascii="Arial" w:hAnsi="Arial" w:cs="Arial"/>
        </w:rPr>
        <w:footnoteReference w:id="53"/>
      </w:r>
    </w:p>
    <w:p w:rsidR="00B17325" w:rsidRDefault="00B17325" w:rsidP="00B17325">
      <w:pPr>
        <w:spacing w:after="240"/>
        <w:rPr>
          <w:rFonts w:ascii="Arial" w:hAnsi="Arial" w:cs="Arial"/>
        </w:rPr>
      </w:pPr>
      <w:r w:rsidRPr="004E4A6C">
        <w:rPr>
          <w:rFonts w:ascii="Arial" w:hAnsi="Arial" w:cs="Arial"/>
        </w:rPr>
        <w:t xml:space="preserve">The recent ACCC survey has motivated a number of suppliers to improve their testing for compliance with their specifications. While this may be the case for many suppliers, the ACCC is yet to establish if this is likely to become industry-wide or enduring. As discussed </w:t>
      </w:r>
      <w:r w:rsidR="005C377F">
        <w:rPr>
          <w:rFonts w:ascii="Arial" w:hAnsi="Arial" w:cs="Arial"/>
        </w:rPr>
        <w:lastRenderedPageBreak/>
        <w:t>earlier</w:t>
      </w:r>
      <w:r w:rsidRPr="004E4A6C">
        <w:rPr>
          <w:rFonts w:ascii="Arial" w:hAnsi="Arial" w:cs="Arial"/>
        </w:rPr>
        <w:t>, general provisions of the ACL and the defective goods regime can be used</w:t>
      </w:r>
      <w:r w:rsidR="00A11672">
        <w:rPr>
          <w:rFonts w:ascii="Arial" w:hAnsi="Arial" w:cs="Arial"/>
        </w:rPr>
        <w:t xml:space="preserve"> where, under the current situation, </w:t>
      </w:r>
      <w:r w:rsidRPr="004E4A6C">
        <w:rPr>
          <w:rFonts w:ascii="Arial" w:hAnsi="Arial" w:cs="Arial"/>
        </w:rPr>
        <w:t xml:space="preserve">unacceptably high concentrations of hazardous aromatic amines </w:t>
      </w:r>
      <w:r w:rsidR="00A11672">
        <w:rPr>
          <w:rFonts w:ascii="Arial" w:hAnsi="Arial" w:cs="Arial"/>
        </w:rPr>
        <w:t>are</w:t>
      </w:r>
      <w:r w:rsidRPr="004E4A6C">
        <w:rPr>
          <w:rFonts w:ascii="Arial" w:hAnsi="Arial" w:cs="Arial"/>
        </w:rPr>
        <w:t xml:space="preserve"> detected in a chemical survey.</w:t>
      </w:r>
    </w:p>
    <w:p w:rsidR="003C59D3" w:rsidRPr="003C59D3" w:rsidRDefault="003C59D3" w:rsidP="00961626">
      <w:pPr>
        <w:spacing w:after="240"/>
        <w:rPr>
          <w:rFonts w:ascii="Arial" w:hAnsi="Arial" w:cs="Arial"/>
          <w:i/>
        </w:rPr>
      </w:pPr>
      <w:r w:rsidRPr="003C59D3">
        <w:rPr>
          <w:rFonts w:ascii="Arial" w:hAnsi="Arial" w:cs="Arial"/>
          <w:i/>
        </w:rPr>
        <w:t>Cost to suppliers</w:t>
      </w:r>
    </w:p>
    <w:p w:rsidR="00B17325" w:rsidRPr="009278D5" w:rsidRDefault="00B17325" w:rsidP="00B17325">
      <w:pPr>
        <w:spacing w:after="240"/>
        <w:rPr>
          <w:rFonts w:ascii="Arial" w:hAnsi="Arial" w:cs="Arial"/>
        </w:rPr>
      </w:pPr>
      <w:r>
        <w:rPr>
          <w:rFonts w:ascii="Arial" w:hAnsi="Arial" w:cs="Arial"/>
        </w:rPr>
        <w:t>As discussed above,</w:t>
      </w:r>
      <w:r w:rsidRPr="00D019F9">
        <w:rPr>
          <w:rFonts w:ascii="Arial" w:hAnsi="Arial" w:cs="Arial"/>
        </w:rPr>
        <w:t xml:space="preserve"> the establishment and maintenance of robust quality control processes </w:t>
      </w:r>
      <w:r>
        <w:rPr>
          <w:rFonts w:ascii="Arial" w:hAnsi="Arial" w:cs="Arial"/>
        </w:rPr>
        <w:t>are</w:t>
      </w:r>
      <w:r w:rsidRPr="00D019F9">
        <w:rPr>
          <w:rFonts w:ascii="Arial" w:hAnsi="Arial" w:cs="Arial"/>
        </w:rPr>
        <w:t xml:space="preserve"> not </w:t>
      </w:r>
      <w:r>
        <w:rPr>
          <w:rFonts w:ascii="Arial" w:hAnsi="Arial" w:cs="Arial"/>
        </w:rPr>
        <w:t>a</w:t>
      </w:r>
      <w:r w:rsidRPr="00D019F9">
        <w:rPr>
          <w:rFonts w:ascii="Arial" w:hAnsi="Arial" w:cs="Arial"/>
        </w:rPr>
        <w:t xml:space="preserve">n additional cost of regulatory compliance as these processes should already be in place in order to comply with the general provisions of the ACL, the defective goods regime and </w:t>
      </w:r>
      <w:r w:rsidR="00B94458">
        <w:rPr>
          <w:rFonts w:ascii="Arial" w:hAnsi="Arial" w:cs="Arial"/>
        </w:rPr>
        <w:t>any existing</w:t>
      </w:r>
      <w:r w:rsidRPr="00D019F9">
        <w:rPr>
          <w:rFonts w:ascii="Arial" w:hAnsi="Arial" w:cs="Arial"/>
        </w:rPr>
        <w:t xml:space="preserve"> industry standards.</w:t>
      </w:r>
      <w:r>
        <w:rPr>
          <w:rFonts w:ascii="Arial" w:hAnsi="Arial" w:cs="Arial"/>
        </w:rPr>
        <w:t xml:space="preserve"> </w:t>
      </w:r>
    </w:p>
    <w:p w:rsidR="00AA6F25" w:rsidRDefault="00961626" w:rsidP="00961626">
      <w:pPr>
        <w:spacing w:after="240"/>
        <w:rPr>
          <w:rFonts w:ascii="Arial" w:hAnsi="Arial" w:cs="Arial"/>
        </w:rPr>
      </w:pPr>
      <w:r w:rsidRPr="003C59D3">
        <w:rPr>
          <w:rFonts w:ascii="Arial" w:hAnsi="Arial" w:cs="Arial"/>
        </w:rPr>
        <w:t>To the extent that suppliers are motivated to improve their compliance and monitoring regimes as a result of the potential for exposure to pecuniary penalties, t</w:t>
      </w:r>
      <w:r w:rsidR="00F22838" w:rsidRPr="003C59D3">
        <w:rPr>
          <w:rFonts w:ascii="Arial" w:hAnsi="Arial" w:cs="Arial"/>
        </w:rPr>
        <w:t>he quantum for each business will vary depending on:</w:t>
      </w:r>
    </w:p>
    <w:p w:rsidR="00F22838" w:rsidRDefault="00DF21EE" w:rsidP="00B7209D">
      <w:pPr>
        <w:numPr>
          <w:ilvl w:val="0"/>
          <w:numId w:val="46"/>
        </w:numPr>
        <w:spacing w:after="240"/>
        <w:ind w:left="567" w:hanging="567"/>
        <w:rPr>
          <w:rFonts w:ascii="Arial" w:hAnsi="Arial" w:cs="Arial"/>
        </w:rPr>
      </w:pPr>
      <w:r>
        <w:rPr>
          <w:rFonts w:ascii="Arial" w:hAnsi="Arial" w:cs="Arial"/>
        </w:rPr>
        <w:t xml:space="preserve">the </w:t>
      </w:r>
      <w:r w:rsidR="00F22838">
        <w:rPr>
          <w:rFonts w:ascii="Arial" w:hAnsi="Arial" w:cs="Arial"/>
        </w:rPr>
        <w:t xml:space="preserve">number </w:t>
      </w:r>
      <w:r w:rsidR="00C95E01">
        <w:rPr>
          <w:rFonts w:ascii="Arial" w:hAnsi="Arial" w:cs="Arial"/>
        </w:rPr>
        <w:t>of direct and prolonged contact articles supplied</w:t>
      </w:r>
    </w:p>
    <w:p w:rsidR="00F22838" w:rsidRDefault="00DF21EE" w:rsidP="00B7209D">
      <w:pPr>
        <w:numPr>
          <w:ilvl w:val="0"/>
          <w:numId w:val="46"/>
        </w:numPr>
        <w:spacing w:after="240"/>
        <w:ind w:left="567" w:hanging="567"/>
        <w:rPr>
          <w:rFonts w:ascii="Arial" w:hAnsi="Arial" w:cs="Arial"/>
        </w:rPr>
      </w:pPr>
      <w:r>
        <w:rPr>
          <w:rFonts w:ascii="Arial" w:hAnsi="Arial" w:cs="Arial"/>
        </w:rPr>
        <w:t xml:space="preserve">the </w:t>
      </w:r>
      <w:r w:rsidR="00F22838">
        <w:rPr>
          <w:rFonts w:ascii="Arial" w:hAnsi="Arial" w:cs="Arial"/>
        </w:rPr>
        <w:t xml:space="preserve">nature of </w:t>
      </w:r>
      <w:r>
        <w:rPr>
          <w:rFonts w:ascii="Arial" w:hAnsi="Arial" w:cs="Arial"/>
        </w:rPr>
        <w:t xml:space="preserve">the supplier’s </w:t>
      </w:r>
      <w:r w:rsidR="00F22838">
        <w:rPr>
          <w:rFonts w:ascii="Arial" w:hAnsi="Arial" w:cs="Arial"/>
        </w:rPr>
        <w:t>quality control processes</w:t>
      </w:r>
    </w:p>
    <w:p w:rsidR="00F22838" w:rsidRDefault="00DF21EE" w:rsidP="00B7209D">
      <w:pPr>
        <w:numPr>
          <w:ilvl w:val="0"/>
          <w:numId w:val="46"/>
        </w:numPr>
        <w:spacing w:after="240"/>
        <w:ind w:left="567" w:hanging="567"/>
        <w:rPr>
          <w:rFonts w:ascii="Arial" w:hAnsi="Arial" w:cs="Arial"/>
        </w:rPr>
      </w:pPr>
      <w:r>
        <w:rPr>
          <w:rFonts w:ascii="Arial" w:hAnsi="Arial" w:cs="Arial"/>
        </w:rPr>
        <w:t xml:space="preserve">the </w:t>
      </w:r>
      <w:r w:rsidR="00F22838">
        <w:rPr>
          <w:rFonts w:ascii="Arial" w:hAnsi="Arial" w:cs="Arial"/>
        </w:rPr>
        <w:t>level of trust in manufacturers and sourcing intermediaries</w:t>
      </w:r>
    </w:p>
    <w:p w:rsidR="00F22838" w:rsidRDefault="00F22838" w:rsidP="00B7209D">
      <w:pPr>
        <w:numPr>
          <w:ilvl w:val="0"/>
          <w:numId w:val="46"/>
        </w:numPr>
        <w:spacing w:after="240"/>
        <w:ind w:left="567" w:hanging="567"/>
        <w:rPr>
          <w:rFonts w:ascii="Arial" w:hAnsi="Arial" w:cs="Arial"/>
        </w:rPr>
      </w:pPr>
      <w:r>
        <w:rPr>
          <w:rFonts w:ascii="Arial" w:hAnsi="Arial" w:cs="Arial"/>
        </w:rPr>
        <w:t>other non-azo dye related quality issues</w:t>
      </w:r>
    </w:p>
    <w:p w:rsidR="00F22838" w:rsidRPr="00690F06" w:rsidRDefault="00F22838" w:rsidP="00B7209D">
      <w:pPr>
        <w:numPr>
          <w:ilvl w:val="0"/>
          <w:numId w:val="46"/>
        </w:numPr>
        <w:spacing w:after="240"/>
        <w:ind w:left="567" w:hanging="567"/>
        <w:rPr>
          <w:rFonts w:ascii="Arial" w:hAnsi="Arial" w:cs="Arial"/>
        </w:rPr>
      </w:pPr>
      <w:proofErr w:type="gramStart"/>
      <w:r>
        <w:rPr>
          <w:rFonts w:ascii="Arial" w:hAnsi="Arial" w:cs="Arial"/>
        </w:rPr>
        <w:t>the</w:t>
      </w:r>
      <w:proofErr w:type="gramEnd"/>
      <w:r>
        <w:rPr>
          <w:rFonts w:ascii="Arial" w:hAnsi="Arial" w:cs="Arial"/>
        </w:rPr>
        <w:t xml:space="preserve"> frequency and intensity of testing</w:t>
      </w:r>
      <w:r w:rsidR="00C95E01">
        <w:rPr>
          <w:rFonts w:ascii="Arial" w:hAnsi="Arial" w:cs="Arial"/>
        </w:rPr>
        <w:t>.</w:t>
      </w:r>
    </w:p>
    <w:p w:rsidR="00AA6F25" w:rsidRDefault="00987C97" w:rsidP="00AA6F25">
      <w:pPr>
        <w:spacing w:after="240"/>
        <w:rPr>
          <w:rFonts w:ascii="Arial" w:hAnsi="Arial" w:cs="Arial"/>
        </w:rPr>
      </w:pPr>
      <w:r>
        <w:rPr>
          <w:rFonts w:ascii="Arial" w:hAnsi="Arial" w:cs="Arial"/>
        </w:rPr>
        <w:t>All </w:t>
      </w:r>
      <w:r w:rsidR="006924D2">
        <w:rPr>
          <w:rFonts w:ascii="Arial" w:hAnsi="Arial" w:cs="Arial"/>
        </w:rPr>
        <w:t xml:space="preserve">19 stakeholders that provided a submission on the call for information paper </w:t>
      </w:r>
      <w:r w:rsidR="00AA6F25" w:rsidRPr="00690F06">
        <w:rPr>
          <w:rFonts w:ascii="Arial" w:hAnsi="Arial" w:cs="Arial"/>
        </w:rPr>
        <w:t>indicated aware</w:t>
      </w:r>
      <w:r w:rsidR="00EA59A4">
        <w:rPr>
          <w:rFonts w:ascii="Arial" w:hAnsi="Arial" w:cs="Arial"/>
        </w:rPr>
        <w:t>ness</w:t>
      </w:r>
      <w:r w:rsidR="00AA6F25" w:rsidRPr="00690F06">
        <w:rPr>
          <w:rFonts w:ascii="Arial" w:hAnsi="Arial" w:cs="Arial"/>
        </w:rPr>
        <w:t xml:space="preserve"> of the safety concerns with certain azo dyes</w:t>
      </w:r>
      <w:r w:rsidR="00EA59A4">
        <w:rPr>
          <w:rFonts w:ascii="Arial" w:hAnsi="Arial" w:cs="Arial"/>
        </w:rPr>
        <w:t>,</w:t>
      </w:r>
      <w:r w:rsidR="00AA6F25">
        <w:rPr>
          <w:rFonts w:ascii="Arial" w:hAnsi="Arial" w:cs="Arial"/>
        </w:rPr>
        <w:t xml:space="preserve"> and t</w:t>
      </w:r>
      <w:r w:rsidR="00AA6F25" w:rsidRPr="00690F06">
        <w:rPr>
          <w:rFonts w:ascii="Arial" w:hAnsi="Arial" w:cs="Arial"/>
        </w:rPr>
        <w:t xml:space="preserve">he majority of suppliers indicated that they voluntarily adopt the EU requirements and expect their manufacturers to </w:t>
      </w:r>
      <w:r w:rsidR="00EA59A4">
        <w:rPr>
          <w:rFonts w:ascii="Arial" w:hAnsi="Arial" w:cs="Arial"/>
        </w:rPr>
        <w:t xml:space="preserve">do the same. </w:t>
      </w:r>
      <w:r w:rsidR="00AA6F25" w:rsidRPr="00690F06">
        <w:rPr>
          <w:rFonts w:ascii="Arial" w:hAnsi="Arial" w:cs="Arial"/>
        </w:rPr>
        <w:t xml:space="preserve">A small number of </w:t>
      </w:r>
      <w:r w:rsidR="00A11672">
        <w:rPr>
          <w:rFonts w:ascii="Arial" w:hAnsi="Arial" w:cs="Arial"/>
        </w:rPr>
        <w:t xml:space="preserve">the 19 </w:t>
      </w:r>
      <w:r w:rsidR="00AA6F25" w:rsidRPr="00690F06">
        <w:rPr>
          <w:rFonts w:ascii="Arial" w:hAnsi="Arial" w:cs="Arial"/>
        </w:rPr>
        <w:t>suppliers have a zero tolerance for the 22</w:t>
      </w:r>
      <w:r w:rsidR="00AA6F25">
        <w:rPr>
          <w:rFonts w:ascii="Arial" w:hAnsi="Arial" w:cs="Arial"/>
        </w:rPr>
        <w:t> </w:t>
      </w:r>
      <w:r w:rsidR="00EA59A4">
        <w:rPr>
          <w:rFonts w:ascii="Arial" w:hAnsi="Arial" w:cs="Arial"/>
        </w:rPr>
        <w:t>hazardous aromatic amines; that is,</w:t>
      </w:r>
      <w:r w:rsidR="00AA6F25" w:rsidRPr="00690F06">
        <w:rPr>
          <w:rFonts w:ascii="Arial" w:hAnsi="Arial" w:cs="Arial"/>
        </w:rPr>
        <w:t xml:space="preserve"> the aromatic amines must not be present at any concentration.</w:t>
      </w:r>
    </w:p>
    <w:p w:rsidR="003E3497" w:rsidRDefault="00AA6F25" w:rsidP="00AA6F25">
      <w:pPr>
        <w:spacing w:after="240"/>
        <w:rPr>
          <w:rFonts w:ascii="Arial" w:hAnsi="Arial" w:cs="Arial"/>
        </w:rPr>
      </w:pPr>
      <w:r>
        <w:rPr>
          <w:rFonts w:ascii="Arial" w:hAnsi="Arial" w:cs="Arial"/>
        </w:rPr>
        <w:t xml:space="preserve">Several suppliers estimated the cost of additional testing </w:t>
      </w:r>
      <w:r w:rsidR="00EA59A4">
        <w:rPr>
          <w:rFonts w:ascii="Arial" w:hAnsi="Arial" w:cs="Arial"/>
        </w:rPr>
        <w:t>for</w:t>
      </w:r>
      <w:r>
        <w:rPr>
          <w:rFonts w:ascii="Arial" w:hAnsi="Arial" w:cs="Arial"/>
        </w:rPr>
        <w:t xml:space="preserve"> their business as a result of </w:t>
      </w:r>
      <w:r w:rsidR="00EA59A4">
        <w:rPr>
          <w:rFonts w:ascii="Arial" w:hAnsi="Arial" w:cs="Arial"/>
        </w:rPr>
        <w:t xml:space="preserve">the </w:t>
      </w:r>
      <w:r>
        <w:rPr>
          <w:rFonts w:ascii="Arial" w:hAnsi="Arial" w:cs="Arial"/>
        </w:rPr>
        <w:t>introduction of a mandatory standard for azo dyes. These estimations varied greatly, as did the expected frequency and scope of testing</w:t>
      </w:r>
      <w:r w:rsidR="003E3497">
        <w:rPr>
          <w:rFonts w:ascii="Arial" w:hAnsi="Arial" w:cs="Arial"/>
        </w:rPr>
        <w:t>:</w:t>
      </w:r>
      <w:r>
        <w:rPr>
          <w:rFonts w:ascii="Arial" w:hAnsi="Arial" w:cs="Arial"/>
        </w:rPr>
        <w:t xml:space="preserve"> </w:t>
      </w:r>
    </w:p>
    <w:p w:rsidR="003E3497" w:rsidRDefault="00AA6F25" w:rsidP="00B7209D">
      <w:pPr>
        <w:numPr>
          <w:ilvl w:val="0"/>
          <w:numId w:val="46"/>
        </w:numPr>
        <w:spacing w:after="240"/>
        <w:ind w:left="567" w:hanging="567"/>
        <w:rPr>
          <w:rFonts w:ascii="Arial" w:hAnsi="Arial" w:cs="Arial"/>
        </w:rPr>
      </w:pPr>
      <w:r>
        <w:rPr>
          <w:rFonts w:ascii="Arial" w:hAnsi="Arial" w:cs="Arial"/>
        </w:rPr>
        <w:t xml:space="preserve">Some </w:t>
      </w:r>
      <w:r w:rsidRPr="00882B08">
        <w:rPr>
          <w:rFonts w:ascii="Arial" w:hAnsi="Arial" w:cs="Arial"/>
        </w:rPr>
        <w:t xml:space="preserve">suppliers did not expect a significant increase in testing </w:t>
      </w:r>
      <w:r w:rsidR="00EA59A4">
        <w:rPr>
          <w:rFonts w:ascii="Arial" w:hAnsi="Arial" w:cs="Arial"/>
        </w:rPr>
        <w:t>costs</w:t>
      </w:r>
      <w:r w:rsidRPr="00882B08">
        <w:rPr>
          <w:rFonts w:ascii="Arial" w:hAnsi="Arial" w:cs="Arial"/>
        </w:rPr>
        <w:t xml:space="preserve">, while others expected a </w:t>
      </w:r>
      <w:r w:rsidR="00882B08">
        <w:rPr>
          <w:rFonts w:ascii="Arial" w:hAnsi="Arial" w:cs="Arial"/>
        </w:rPr>
        <w:t>large increase</w:t>
      </w:r>
      <w:r w:rsidRPr="00882B08">
        <w:rPr>
          <w:rFonts w:ascii="Arial" w:hAnsi="Arial" w:cs="Arial"/>
        </w:rPr>
        <w:t xml:space="preserve"> based on extreme estimations of the scope and frequency of testing they expected would</w:t>
      </w:r>
      <w:r>
        <w:rPr>
          <w:rFonts w:ascii="Arial" w:hAnsi="Arial" w:cs="Arial"/>
        </w:rPr>
        <w:t xml:space="preserve"> be necessary to demonstrate compliance. </w:t>
      </w:r>
    </w:p>
    <w:p w:rsidR="00AA6F25" w:rsidRDefault="00AA6F25" w:rsidP="00B7209D">
      <w:pPr>
        <w:numPr>
          <w:ilvl w:val="0"/>
          <w:numId w:val="46"/>
        </w:numPr>
        <w:spacing w:after="240"/>
        <w:ind w:left="567" w:hanging="567"/>
        <w:rPr>
          <w:rFonts w:ascii="Arial" w:hAnsi="Arial" w:cs="Arial"/>
        </w:rPr>
      </w:pPr>
      <w:r>
        <w:rPr>
          <w:rFonts w:ascii="Arial" w:hAnsi="Arial" w:cs="Arial"/>
        </w:rPr>
        <w:t>One supplier noted that the additional testing would also need additional emphasis on record-keeping and administration, which also represent</w:t>
      </w:r>
      <w:r w:rsidR="00987C97">
        <w:rPr>
          <w:rFonts w:ascii="Arial" w:hAnsi="Arial" w:cs="Arial"/>
        </w:rPr>
        <w:t>s</w:t>
      </w:r>
      <w:r>
        <w:rPr>
          <w:rFonts w:ascii="Arial" w:hAnsi="Arial" w:cs="Arial"/>
        </w:rPr>
        <w:t xml:space="preserve"> additional costs.</w:t>
      </w:r>
    </w:p>
    <w:p w:rsidR="00C72C21" w:rsidRPr="009278D5" w:rsidRDefault="00C72C21" w:rsidP="00B7209D">
      <w:pPr>
        <w:numPr>
          <w:ilvl w:val="0"/>
          <w:numId w:val="46"/>
        </w:numPr>
        <w:spacing w:after="240"/>
        <w:ind w:left="567" w:hanging="567"/>
        <w:rPr>
          <w:rFonts w:ascii="Arial" w:hAnsi="Arial" w:cs="Arial"/>
        </w:rPr>
      </w:pPr>
      <w:r w:rsidRPr="009278D5">
        <w:rPr>
          <w:rFonts w:ascii="Arial" w:hAnsi="Arial" w:cs="Arial"/>
        </w:rPr>
        <w:t xml:space="preserve">One major supplier stated that an extreme approach to compliance would be to test a sample of every stock keeping unit (SKU) from every purchase order. The ACCC does not consider this example to be realistic or represent the </w:t>
      </w:r>
      <w:r w:rsidRPr="00B7209D">
        <w:rPr>
          <w:rFonts w:ascii="Arial" w:hAnsi="Arial" w:cs="Arial"/>
        </w:rPr>
        <w:t>additional</w:t>
      </w:r>
      <w:r w:rsidRPr="009278D5">
        <w:rPr>
          <w:rFonts w:ascii="Arial" w:hAnsi="Arial" w:cs="Arial"/>
        </w:rPr>
        <w:t xml:space="preserve"> costs to the supplier, as not every SKU will relate to direct and prolonged contact articles and it fails to recognise the </w:t>
      </w:r>
      <w:r w:rsidR="002F785A">
        <w:rPr>
          <w:rFonts w:ascii="Arial" w:hAnsi="Arial" w:cs="Arial"/>
        </w:rPr>
        <w:t>existing</w:t>
      </w:r>
      <w:r w:rsidRPr="009278D5">
        <w:rPr>
          <w:rFonts w:ascii="Arial" w:hAnsi="Arial" w:cs="Arial"/>
        </w:rPr>
        <w:t xml:space="preserve"> product safety </w:t>
      </w:r>
      <w:r w:rsidR="002F785A">
        <w:rPr>
          <w:rFonts w:ascii="Arial" w:hAnsi="Arial" w:cs="Arial"/>
        </w:rPr>
        <w:t>obligations</w:t>
      </w:r>
      <w:r w:rsidRPr="009278D5">
        <w:rPr>
          <w:rFonts w:ascii="Arial" w:hAnsi="Arial" w:cs="Arial"/>
        </w:rPr>
        <w:t xml:space="preserve"> </w:t>
      </w:r>
      <w:r w:rsidR="002F785A">
        <w:rPr>
          <w:rFonts w:ascii="Arial" w:hAnsi="Arial" w:cs="Arial"/>
        </w:rPr>
        <w:t>under</w:t>
      </w:r>
      <w:r w:rsidRPr="009278D5">
        <w:rPr>
          <w:rFonts w:ascii="Arial" w:hAnsi="Arial" w:cs="Arial"/>
        </w:rPr>
        <w:t xml:space="preserve"> the general provisions of the ACL, the defective goods regime and the series of industry standards. Further, testing of every SKU would seem unnecessary if suppliers know their products and </w:t>
      </w:r>
      <w:r w:rsidR="002F785A">
        <w:rPr>
          <w:rFonts w:ascii="Arial" w:hAnsi="Arial" w:cs="Arial"/>
        </w:rPr>
        <w:t xml:space="preserve">are certain </w:t>
      </w:r>
      <w:r w:rsidRPr="009278D5">
        <w:rPr>
          <w:rFonts w:ascii="Arial" w:hAnsi="Arial" w:cs="Arial"/>
        </w:rPr>
        <w:t xml:space="preserve">that the same raw materials are used across a range of sizes or variants of clothing. In these circumstances, it may be appropriate to test one product </w:t>
      </w:r>
      <w:r w:rsidR="002F785A">
        <w:rPr>
          <w:rFonts w:ascii="Arial" w:hAnsi="Arial" w:cs="Arial"/>
        </w:rPr>
        <w:t xml:space="preserve">to ensure </w:t>
      </w:r>
      <w:r w:rsidRPr="009278D5">
        <w:rPr>
          <w:rFonts w:ascii="Arial" w:hAnsi="Arial" w:cs="Arial"/>
        </w:rPr>
        <w:t xml:space="preserve">several product lines meet the requirements. </w:t>
      </w:r>
    </w:p>
    <w:p w:rsidR="003E3497" w:rsidRDefault="00C72C21" w:rsidP="00B7209D">
      <w:pPr>
        <w:numPr>
          <w:ilvl w:val="0"/>
          <w:numId w:val="46"/>
        </w:numPr>
        <w:spacing w:after="240"/>
        <w:ind w:left="567" w:hanging="567"/>
        <w:rPr>
          <w:rFonts w:ascii="Arial" w:hAnsi="Arial" w:cs="Arial"/>
        </w:rPr>
      </w:pPr>
      <w:r w:rsidRPr="009278D5">
        <w:rPr>
          <w:rFonts w:ascii="Arial" w:hAnsi="Arial" w:cs="Arial"/>
        </w:rPr>
        <w:lastRenderedPageBreak/>
        <w:t xml:space="preserve">Another major retailer stated it would need to conduct additional testing for </w:t>
      </w:r>
      <w:r w:rsidR="00882B08">
        <w:rPr>
          <w:rFonts w:ascii="Arial" w:hAnsi="Arial" w:cs="Arial"/>
        </w:rPr>
        <w:t xml:space="preserve">a small percentage of </w:t>
      </w:r>
      <w:r w:rsidRPr="009278D5">
        <w:rPr>
          <w:rFonts w:ascii="Arial" w:hAnsi="Arial" w:cs="Arial"/>
        </w:rPr>
        <w:t xml:space="preserve">its product range at an approximate cost </w:t>
      </w:r>
      <w:r w:rsidR="00987C97" w:rsidRPr="009278D5">
        <w:rPr>
          <w:rFonts w:ascii="Arial" w:hAnsi="Arial" w:cs="Arial"/>
        </w:rPr>
        <w:t>of</w:t>
      </w:r>
      <w:r w:rsidR="00987C97">
        <w:rPr>
          <w:rFonts w:ascii="Arial" w:hAnsi="Arial" w:cs="Arial"/>
        </w:rPr>
        <w:t> </w:t>
      </w:r>
      <w:r w:rsidRPr="009278D5">
        <w:rPr>
          <w:rFonts w:ascii="Arial" w:hAnsi="Arial" w:cs="Arial"/>
        </w:rPr>
        <w:t>$</w:t>
      </w:r>
      <w:r w:rsidR="00882B08">
        <w:rPr>
          <w:rFonts w:ascii="Arial" w:hAnsi="Arial" w:cs="Arial"/>
        </w:rPr>
        <w:t>500</w:t>
      </w:r>
      <w:r w:rsidRPr="009278D5">
        <w:rPr>
          <w:rFonts w:ascii="Arial" w:hAnsi="Arial" w:cs="Arial"/>
        </w:rPr>
        <w:t xml:space="preserve"> 000 per year. It also stated that regulation would create a significant increase in costs for the remaining 95 per cent of its product range to monitor the conduct of its suppliers and implement procedures and policies to better ensure compliance. </w:t>
      </w:r>
    </w:p>
    <w:p w:rsidR="00C72C21" w:rsidRDefault="00C72C21" w:rsidP="00B7209D">
      <w:pPr>
        <w:numPr>
          <w:ilvl w:val="0"/>
          <w:numId w:val="46"/>
        </w:numPr>
        <w:spacing w:after="240"/>
        <w:ind w:left="567" w:hanging="567"/>
        <w:rPr>
          <w:rFonts w:ascii="Arial" w:hAnsi="Arial" w:cs="Arial"/>
        </w:rPr>
      </w:pPr>
      <w:r w:rsidRPr="009278D5">
        <w:rPr>
          <w:rFonts w:ascii="Arial" w:hAnsi="Arial" w:cs="Arial"/>
        </w:rPr>
        <w:t>Another significant supplier stated that it was unlikely to incur any additional costs as a result of regulation.</w:t>
      </w:r>
    </w:p>
    <w:p w:rsidR="00D32492" w:rsidRDefault="00D32492" w:rsidP="00D32492">
      <w:pPr>
        <w:spacing w:after="240"/>
        <w:rPr>
          <w:rFonts w:ascii="Arial" w:hAnsi="Arial" w:cs="Arial"/>
        </w:rPr>
      </w:pPr>
      <w:r>
        <w:rPr>
          <w:rFonts w:ascii="Arial" w:hAnsi="Arial" w:cs="Arial"/>
        </w:rPr>
        <w:t xml:space="preserve">Given the wide range of estimated additional costs from such a small sample of a large industry (as set out </w:t>
      </w:r>
      <w:r w:rsidRPr="005C377F">
        <w:rPr>
          <w:rFonts w:ascii="Arial" w:hAnsi="Arial" w:cs="Arial"/>
        </w:rPr>
        <w:t>in Attachment 6)</w:t>
      </w:r>
      <w:r>
        <w:rPr>
          <w:rFonts w:ascii="Arial" w:hAnsi="Arial" w:cs="Arial"/>
        </w:rPr>
        <w:t xml:space="preserve">, accurately estimating the total additional industry costs due to regulation is difficult. However the ACCC has, for the purposes of this draft RIS, prepared estimates of the additional costs based on the number and size of affected retailers, the cost of product testing, the number of tests suppliers may need to conduct (an estimate of the minimum, maximum and midpoint between minimum and maximum), the additional costs for record keeping, reporting and the cost of delays in getting goods to market. </w:t>
      </w:r>
    </w:p>
    <w:p w:rsidR="00EA1965" w:rsidRDefault="00D32492" w:rsidP="00D32492">
      <w:pPr>
        <w:spacing w:after="240"/>
        <w:rPr>
          <w:rFonts w:ascii="Arial" w:hAnsi="Arial" w:cs="Arial"/>
        </w:rPr>
      </w:pPr>
      <w:r>
        <w:rPr>
          <w:rFonts w:ascii="Arial" w:hAnsi="Arial" w:cs="Arial"/>
        </w:rPr>
        <w:t xml:space="preserve">Additional costs have been estimated and </w:t>
      </w:r>
      <w:r w:rsidRPr="00FB4694">
        <w:rPr>
          <w:rFonts w:ascii="Arial" w:hAnsi="Arial" w:cs="Arial"/>
          <w:i/>
        </w:rPr>
        <w:t xml:space="preserve">averaged </w:t>
      </w:r>
      <w:r>
        <w:rPr>
          <w:rFonts w:ascii="Arial" w:hAnsi="Arial" w:cs="Arial"/>
        </w:rPr>
        <w:t>over the 10 year default period as required by OBPR.</w:t>
      </w:r>
      <w:r>
        <w:rPr>
          <w:rStyle w:val="FootnoteReference"/>
          <w:rFonts w:ascii="Arial" w:hAnsi="Arial" w:cs="Arial"/>
        </w:rPr>
        <w:footnoteReference w:id="54"/>
      </w:r>
      <w:r>
        <w:rPr>
          <w:rFonts w:ascii="Arial" w:hAnsi="Arial" w:cs="Arial"/>
        </w:rPr>
        <w:t xml:space="preserve"> The estimation of additional costs </w:t>
      </w:r>
      <w:r w:rsidR="00EA1965">
        <w:rPr>
          <w:rFonts w:ascii="Arial" w:hAnsi="Arial" w:cs="Arial"/>
        </w:rPr>
        <w:t>results in a minimum cost of $8 </w:t>
      </w:r>
      <w:r>
        <w:rPr>
          <w:rFonts w:ascii="Arial" w:hAnsi="Arial" w:cs="Arial"/>
        </w:rPr>
        <w:t xml:space="preserve">million each year, a maximum cost of $29 million each </w:t>
      </w:r>
      <w:r w:rsidR="00EA1965">
        <w:rPr>
          <w:rFonts w:ascii="Arial" w:hAnsi="Arial" w:cs="Arial"/>
        </w:rPr>
        <w:t>year and a midpoint cost of $18 </w:t>
      </w:r>
      <w:r>
        <w:rPr>
          <w:rFonts w:ascii="Arial" w:hAnsi="Arial" w:cs="Arial"/>
        </w:rPr>
        <w:t xml:space="preserve">million each year. </w:t>
      </w:r>
    </w:p>
    <w:p w:rsidR="00D32492" w:rsidRDefault="00EA1965" w:rsidP="00D32492">
      <w:pPr>
        <w:spacing w:after="240"/>
        <w:rPr>
          <w:rFonts w:ascii="Arial" w:hAnsi="Arial" w:cs="Arial"/>
        </w:rPr>
      </w:pPr>
      <w:r>
        <w:rPr>
          <w:rFonts w:ascii="Arial" w:hAnsi="Arial" w:cs="Arial"/>
        </w:rPr>
        <w:t xml:space="preserve">The midpoint estimate of $18 million per annum represents the estimate of total additional costs under this option. </w:t>
      </w:r>
      <w:r w:rsidR="00D32492">
        <w:rPr>
          <w:rFonts w:ascii="Arial" w:hAnsi="Arial" w:cs="Arial"/>
        </w:rPr>
        <w:t xml:space="preserve">Table </w:t>
      </w:r>
      <w:r w:rsidR="00B94458">
        <w:rPr>
          <w:rFonts w:ascii="Arial" w:hAnsi="Arial" w:cs="Arial"/>
        </w:rPr>
        <w:t>5.2 sets out these figures and A</w:t>
      </w:r>
      <w:r w:rsidR="00D32492" w:rsidRPr="00FB5EFB">
        <w:rPr>
          <w:rFonts w:ascii="Arial" w:hAnsi="Arial" w:cs="Arial"/>
        </w:rPr>
        <w:t>ttachment 8</w:t>
      </w:r>
      <w:r w:rsidR="00D32492">
        <w:rPr>
          <w:rFonts w:ascii="Arial" w:hAnsi="Arial" w:cs="Arial"/>
        </w:rPr>
        <w:t xml:space="preserve"> provides details on how this estimate was calculated. </w:t>
      </w:r>
    </w:p>
    <w:p w:rsidR="00D32492" w:rsidRPr="00FB4694" w:rsidRDefault="00D32492" w:rsidP="00D32492">
      <w:pPr>
        <w:spacing w:after="240"/>
        <w:ind w:left="1440" w:hanging="1440"/>
        <w:rPr>
          <w:rFonts w:ascii="Arial" w:hAnsi="Arial" w:cs="Arial"/>
          <w:b/>
        </w:rPr>
      </w:pPr>
      <w:r w:rsidRPr="00FB4694">
        <w:rPr>
          <w:rFonts w:ascii="Arial" w:hAnsi="Arial" w:cs="Arial"/>
          <w:b/>
        </w:rPr>
        <w:t>Table 5.2:</w:t>
      </w:r>
      <w:r w:rsidRPr="00FB4694">
        <w:rPr>
          <w:rFonts w:ascii="Arial" w:hAnsi="Arial" w:cs="Arial"/>
          <w:b/>
        </w:rPr>
        <w:tab/>
        <w:t>Estimate of total costs for option 3, averaged over 10 years</w:t>
      </w:r>
      <w:r>
        <w:rPr>
          <w:rFonts w:ascii="Arial" w:hAnsi="Arial" w:cs="Arial"/>
          <w:b/>
        </w:rPr>
        <w:t>, $m</w:t>
      </w:r>
    </w:p>
    <w:tbl>
      <w:tblPr>
        <w:tblStyle w:val="TableGrid"/>
        <w:tblW w:w="0" w:type="auto"/>
        <w:tblInd w:w="108"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4253"/>
        <w:gridCol w:w="2268"/>
      </w:tblGrid>
      <w:tr w:rsidR="00D32492" w:rsidRPr="008148DA" w:rsidTr="00B242FC">
        <w:tc>
          <w:tcPr>
            <w:tcW w:w="4253" w:type="dxa"/>
            <w:tcBorders>
              <w:top w:val="single" w:sz="12" w:space="0" w:color="auto"/>
              <w:bottom w:val="single" w:sz="12" w:space="0" w:color="auto"/>
            </w:tcBorders>
          </w:tcPr>
          <w:p w:rsidR="00D32492" w:rsidRPr="00E82165" w:rsidRDefault="00D32492" w:rsidP="00B242FC">
            <w:pPr>
              <w:keepNext/>
              <w:spacing w:after="240"/>
              <w:rPr>
                <w:rFonts w:ascii="Arial" w:hAnsi="Arial" w:cs="Arial"/>
                <w:b/>
                <w:sz w:val="20"/>
                <w:szCs w:val="20"/>
              </w:rPr>
            </w:pPr>
            <w:r w:rsidRPr="00E82165">
              <w:rPr>
                <w:rFonts w:ascii="Arial" w:hAnsi="Arial" w:cs="Arial"/>
                <w:b/>
                <w:sz w:val="20"/>
                <w:szCs w:val="20"/>
              </w:rPr>
              <w:t>Range of estimated costs</w:t>
            </w:r>
          </w:p>
        </w:tc>
        <w:tc>
          <w:tcPr>
            <w:tcW w:w="2268" w:type="dxa"/>
            <w:tcBorders>
              <w:top w:val="single" w:sz="12" w:space="0" w:color="auto"/>
              <w:bottom w:val="single" w:sz="12" w:space="0" w:color="auto"/>
            </w:tcBorders>
          </w:tcPr>
          <w:p w:rsidR="00D32492" w:rsidRPr="00E82165" w:rsidRDefault="00D32492" w:rsidP="00B242FC">
            <w:pPr>
              <w:keepNext/>
              <w:spacing w:after="240"/>
              <w:jc w:val="center"/>
              <w:rPr>
                <w:rFonts w:ascii="Arial" w:hAnsi="Arial" w:cs="Arial"/>
                <w:b/>
                <w:sz w:val="20"/>
                <w:szCs w:val="20"/>
              </w:rPr>
            </w:pPr>
            <w:r w:rsidRPr="00E82165">
              <w:rPr>
                <w:rFonts w:ascii="Arial" w:hAnsi="Arial" w:cs="Arial"/>
                <w:b/>
                <w:sz w:val="20"/>
                <w:szCs w:val="20"/>
              </w:rPr>
              <w:t>Average</w:t>
            </w:r>
          </w:p>
        </w:tc>
      </w:tr>
      <w:tr w:rsidR="00D32492" w:rsidRPr="008148DA" w:rsidTr="00B242FC">
        <w:tc>
          <w:tcPr>
            <w:tcW w:w="4253" w:type="dxa"/>
            <w:tcBorders>
              <w:top w:val="single" w:sz="12" w:space="0" w:color="auto"/>
            </w:tcBorders>
          </w:tcPr>
          <w:p w:rsidR="00D32492" w:rsidRPr="00E82165" w:rsidRDefault="00D32492" w:rsidP="00B242FC">
            <w:pPr>
              <w:keepNext/>
              <w:spacing w:after="240"/>
              <w:rPr>
                <w:rFonts w:ascii="Arial" w:hAnsi="Arial" w:cs="Arial"/>
                <w:sz w:val="20"/>
                <w:szCs w:val="20"/>
              </w:rPr>
            </w:pPr>
            <w:r w:rsidRPr="00E82165">
              <w:rPr>
                <w:rFonts w:ascii="Arial" w:hAnsi="Arial" w:cs="Arial"/>
                <w:sz w:val="20"/>
                <w:szCs w:val="20"/>
              </w:rPr>
              <w:t>Minimum</w:t>
            </w:r>
          </w:p>
        </w:tc>
        <w:tc>
          <w:tcPr>
            <w:tcW w:w="2268" w:type="dxa"/>
            <w:tcBorders>
              <w:top w:val="single" w:sz="12" w:space="0" w:color="auto"/>
            </w:tcBorders>
          </w:tcPr>
          <w:p w:rsidR="00D32492" w:rsidRPr="00E82165" w:rsidRDefault="00D32492" w:rsidP="00B242FC">
            <w:pPr>
              <w:keepNext/>
              <w:spacing w:after="240"/>
              <w:jc w:val="center"/>
              <w:rPr>
                <w:rFonts w:ascii="Arial" w:hAnsi="Arial" w:cs="Arial"/>
                <w:sz w:val="20"/>
                <w:szCs w:val="20"/>
              </w:rPr>
            </w:pPr>
            <w:r>
              <w:rPr>
                <w:rFonts w:ascii="Arial" w:hAnsi="Arial" w:cs="Arial"/>
                <w:sz w:val="20"/>
                <w:szCs w:val="20"/>
              </w:rPr>
              <w:t>8</w:t>
            </w:r>
          </w:p>
        </w:tc>
      </w:tr>
      <w:tr w:rsidR="00D32492" w:rsidRPr="008148DA" w:rsidTr="00B242FC">
        <w:tc>
          <w:tcPr>
            <w:tcW w:w="4253" w:type="dxa"/>
          </w:tcPr>
          <w:p w:rsidR="00D32492" w:rsidRPr="00E82165" w:rsidRDefault="00D32492" w:rsidP="00B242FC">
            <w:pPr>
              <w:keepNext/>
              <w:spacing w:after="240"/>
              <w:rPr>
                <w:rFonts w:ascii="Arial" w:hAnsi="Arial" w:cs="Arial"/>
                <w:sz w:val="20"/>
                <w:szCs w:val="20"/>
              </w:rPr>
            </w:pPr>
            <w:r w:rsidRPr="00E82165">
              <w:rPr>
                <w:rFonts w:ascii="Arial" w:hAnsi="Arial" w:cs="Arial"/>
                <w:sz w:val="20"/>
                <w:szCs w:val="20"/>
              </w:rPr>
              <w:t>Maximum</w:t>
            </w:r>
          </w:p>
        </w:tc>
        <w:tc>
          <w:tcPr>
            <w:tcW w:w="2268" w:type="dxa"/>
          </w:tcPr>
          <w:p w:rsidR="00D32492" w:rsidRPr="00E82165" w:rsidRDefault="00D32492" w:rsidP="00B242FC">
            <w:pPr>
              <w:keepNext/>
              <w:spacing w:after="240"/>
              <w:jc w:val="center"/>
              <w:rPr>
                <w:rFonts w:ascii="Arial" w:hAnsi="Arial" w:cs="Arial"/>
                <w:sz w:val="20"/>
                <w:szCs w:val="20"/>
              </w:rPr>
            </w:pPr>
            <w:r>
              <w:rPr>
                <w:rFonts w:ascii="Arial" w:hAnsi="Arial" w:cs="Arial"/>
                <w:sz w:val="20"/>
                <w:szCs w:val="20"/>
              </w:rPr>
              <w:t>29</w:t>
            </w:r>
          </w:p>
        </w:tc>
      </w:tr>
      <w:tr w:rsidR="00D32492" w:rsidRPr="008148DA" w:rsidTr="00B242FC">
        <w:tc>
          <w:tcPr>
            <w:tcW w:w="4253" w:type="dxa"/>
          </w:tcPr>
          <w:p w:rsidR="00D32492" w:rsidRPr="00E82165" w:rsidRDefault="00D32492" w:rsidP="00B242FC">
            <w:pPr>
              <w:spacing w:after="240"/>
              <w:rPr>
                <w:rFonts w:ascii="Arial" w:hAnsi="Arial" w:cs="Arial"/>
                <w:sz w:val="20"/>
                <w:szCs w:val="20"/>
              </w:rPr>
            </w:pPr>
            <w:r w:rsidRPr="00E82165">
              <w:rPr>
                <w:rFonts w:ascii="Arial" w:hAnsi="Arial" w:cs="Arial"/>
                <w:sz w:val="20"/>
                <w:szCs w:val="20"/>
              </w:rPr>
              <w:t>Midpoint</w:t>
            </w:r>
          </w:p>
        </w:tc>
        <w:tc>
          <w:tcPr>
            <w:tcW w:w="2268" w:type="dxa"/>
          </w:tcPr>
          <w:p w:rsidR="00D32492" w:rsidRPr="00E82165" w:rsidRDefault="00D32492" w:rsidP="00B242FC">
            <w:pPr>
              <w:spacing w:after="240"/>
              <w:jc w:val="center"/>
              <w:rPr>
                <w:rFonts w:ascii="Arial" w:hAnsi="Arial" w:cs="Arial"/>
                <w:sz w:val="20"/>
                <w:szCs w:val="20"/>
              </w:rPr>
            </w:pPr>
            <w:r>
              <w:rPr>
                <w:rFonts w:ascii="Arial" w:hAnsi="Arial" w:cs="Arial"/>
                <w:sz w:val="20"/>
                <w:szCs w:val="20"/>
              </w:rPr>
              <w:t>18</w:t>
            </w:r>
          </w:p>
        </w:tc>
      </w:tr>
    </w:tbl>
    <w:p w:rsidR="00D32492" w:rsidRDefault="00D32492" w:rsidP="00D32492">
      <w:pPr>
        <w:spacing w:after="240"/>
        <w:rPr>
          <w:rFonts w:ascii="Arial" w:hAnsi="Arial" w:cs="Arial"/>
        </w:rPr>
      </w:pPr>
    </w:p>
    <w:p w:rsidR="00D32492" w:rsidRDefault="00D32492" w:rsidP="00D32492">
      <w:pPr>
        <w:spacing w:after="240"/>
        <w:rPr>
          <w:rFonts w:ascii="Arial" w:hAnsi="Arial" w:cs="Arial"/>
        </w:rPr>
      </w:pPr>
      <w:r>
        <w:rPr>
          <w:rFonts w:ascii="Arial" w:hAnsi="Arial" w:cs="Arial"/>
        </w:rPr>
        <w:t>To demonstrate a net benefit for this option, the midpoint cost estimate of $18 million per year needs to be balanced with $18 million per year in benefits.</w:t>
      </w:r>
      <w:r w:rsidRPr="0011067F">
        <w:rPr>
          <w:rFonts w:ascii="Arial" w:hAnsi="Arial" w:cs="Arial"/>
        </w:rPr>
        <w:t xml:space="preserve"> This equates to avoiding</w:t>
      </w:r>
      <w:r>
        <w:rPr>
          <w:rFonts w:ascii="Arial" w:hAnsi="Arial" w:cs="Arial"/>
        </w:rPr>
        <w:t xml:space="preserve"> approximately 18</w:t>
      </w:r>
      <w:r w:rsidRPr="0011067F">
        <w:rPr>
          <w:rFonts w:ascii="Arial" w:hAnsi="Arial" w:cs="Arial"/>
        </w:rPr>
        <w:t xml:space="preserve"> cases of bladder cancer</w:t>
      </w:r>
      <w:r>
        <w:rPr>
          <w:rFonts w:ascii="Arial" w:hAnsi="Arial" w:cs="Arial"/>
        </w:rPr>
        <w:t xml:space="preserve"> (</w:t>
      </w:r>
      <w:r w:rsidRPr="0011067F">
        <w:rPr>
          <w:rFonts w:ascii="Arial" w:hAnsi="Arial" w:cs="Arial"/>
        </w:rPr>
        <w:t xml:space="preserve">which </w:t>
      </w:r>
      <w:r>
        <w:rPr>
          <w:rFonts w:ascii="Arial" w:hAnsi="Arial" w:cs="Arial"/>
        </w:rPr>
        <w:t>could be</w:t>
      </w:r>
      <w:r w:rsidRPr="0011067F">
        <w:rPr>
          <w:rFonts w:ascii="Arial" w:hAnsi="Arial" w:cs="Arial"/>
        </w:rPr>
        <w:t xml:space="preserve"> attributed solely to exposure to hazardous dyes in direct and prolonged contact articles</w:t>
      </w:r>
      <w:r>
        <w:rPr>
          <w:rFonts w:ascii="Arial" w:hAnsi="Arial" w:cs="Arial"/>
        </w:rPr>
        <w:t>), each year.</w:t>
      </w:r>
    </w:p>
    <w:p w:rsidR="00C42AA9" w:rsidRDefault="00C42AA9" w:rsidP="009278D5">
      <w:pPr>
        <w:spacing w:after="240"/>
        <w:rPr>
          <w:rFonts w:ascii="Arial" w:hAnsi="Arial" w:cs="Arial"/>
        </w:rPr>
      </w:pPr>
      <w:r>
        <w:rPr>
          <w:rFonts w:ascii="Arial" w:hAnsi="Arial" w:cs="Arial"/>
        </w:rPr>
        <w:t>As stated throughout this draft RIS, t</w:t>
      </w:r>
      <w:r w:rsidRPr="00690F06">
        <w:rPr>
          <w:rFonts w:ascii="Arial" w:hAnsi="Arial" w:cs="Arial"/>
        </w:rPr>
        <w:t xml:space="preserve">he importation and supply of direct and prolonged contact articles is already governed by the general provisions of the ACL and the defective goods regime, a series of industry standards and </w:t>
      </w:r>
      <w:r>
        <w:rPr>
          <w:rFonts w:ascii="Arial" w:hAnsi="Arial" w:cs="Arial"/>
        </w:rPr>
        <w:t xml:space="preserve">various </w:t>
      </w:r>
      <w:r w:rsidRPr="00690F06">
        <w:rPr>
          <w:rFonts w:ascii="Arial" w:hAnsi="Arial" w:cs="Arial"/>
        </w:rPr>
        <w:t>contractual arrangements.</w:t>
      </w:r>
      <w:r w:rsidR="00763065">
        <w:rPr>
          <w:rFonts w:ascii="Arial" w:hAnsi="Arial" w:cs="Arial"/>
        </w:rPr>
        <w:t xml:space="preserve"> The ACCC argues that suppliers should already be ensuring their products meet the general provisions of the ACL, including that they are of acceptable quality and safe. Under this option many suppliers will need to conduct additional testing to verify</w:t>
      </w:r>
      <w:r w:rsidR="00213FEF">
        <w:rPr>
          <w:rFonts w:ascii="Arial" w:hAnsi="Arial" w:cs="Arial"/>
        </w:rPr>
        <w:t xml:space="preserve"> and be sure</w:t>
      </w:r>
      <w:r w:rsidR="00763065">
        <w:rPr>
          <w:rFonts w:ascii="Arial" w:hAnsi="Arial" w:cs="Arial"/>
        </w:rPr>
        <w:t xml:space="preserve"> that their </w:t>
      </w:r>
      <w:r w:rsidR="00763065">
        <w:rPr>
          <w:rFonts w:ascii="Arial" w:hAnsi="Arial" w:cs="Arial"/>
        </w:rPr>
        <w:lastRenderedPageBreak/>
        <w:t xml:space="preserve">products meet </w:t>
      </w:r>
      <w:r w:rsidR="00213FEF">
        <w:rPr>
          <w:rFonts w:ascii="Arial" w:hAnsi="Arial" w:cs="Arial"/>
        </w:rPr>
        <w:t xml:space="preserve">the </w:t>
      </w:r>
      <w:r w:rsidR="001E7691">
        <w:rPr>
          <w:rFonts w:ascii="Arial" w:hAnsi="Arial" w:cs="Arial"/>
        </w:rPr>
        <w:t xml:space="preserve">general provisions of the ACL and </w:t>
      </w:r>
      <w:r w:rsidR="00213FEF">
        <w:rPr>
          <w:rFonts w:ascii="Arial" w:hAnsi="Arial" w:cs="Arial"/>
        </w:rPr>
        <w:t>regulation.</w:t>
      </w:r>
      <w:r w:rsidR="000A5A4A">
        <w:rPr>
          <w:rFonts w:ascii="Arial" w:hAnsi="Arial" w:cs="Arial"/>
        </w:rPr>
        <w:t xml:space="preserve"> The number of tests a supplier conducts is not set by regulation but will depend on the type of article supplied and the </w:t>
      </w:r>
      <w:r w:rsidR="00CC0EAE">
        <w:rPr>
          <w:rFonts w:ascii="Arial" w:hAnsi="Arial" w:cs="Arial"/>
        </w:rPr>
        <w:t>supplier’s</w:t>
      </w:r>
      <w:r w:rsidR="000A5A4A">
        <w:rPr>
          <w:rFonts w:ascii="Arial" w:hAnsi="Arial" w:cs="Arial"/>
        </w:rPr>
        <w:t xml:space="preserve"> confidence in their quality control processes.</w:t>
      </w:r>
      <w:r>
        <w:rPr>
          <w:rFonts w:ascii="Arial" w:hAnsi="Arial" w:cs="Arial"/>
        </w:rPr>
        <w:t xml:space="preserve"> It is anticipated that as business gains confidence in th</w:t>
      </w:r>
      <w:r w:rsidR="000A5A4A">
        <w:rPr>
          <w:rFonts w:ascii="Arial" w:hAnsi="Arial" w:cs="Arial"/>
        </w:rPr>
        <w:t>ese processes</w:t>
      </w:r>
      <w:r w:rsidR="00213FEF">
        <w:rPr>
          <w:rFonts w:ascii="Arial" w:hAnsi="Arial" w:cs="Arial"/>
        </w:rPr>
        <w:t xml:space="preserve"> (which may i</w:t>
      </w:r>
      <w:r w:rsidR="00122C1B">
        <w:rPr>
          <w:rFonts w:ascii="Arial" w:hAnsi="Arial" w:cs="Arial"/>
        </w:rPr>
        <w:t>nclude testing of raw materials</w:t>
      </w:r>
      <w:r w:rsidR="000A5A4A">
        <w:rPr>
          <w:rFonts w:ascii="Arial" w:hAnsi="Arial" w:cs="Arial"/>
        </w:rPr>
        <w:t xml:space="preserve"> prior to manufacturing</w:t>
      </w:r>
      <w:r w:rsidR="00122C1B">
        <w:rPr>
          <w:rFonts w:ascii="Arial" w:hAnsi="Arial" w:cs="Arial"/>
        </w:rPr>
        <w:t>)</w:t>
      </w:r>
      <w:r>
        <w:rPr>
          <w:rFonts w:ascii="Arial" w:hAnsi="Arial" w:cs="Arial"/>
        </w:rPr>
        <w:t>,</w:t>
      </w:r>
      <w:r w:rsidR="00213FEF">
        <w:rPr>
          <w:rFonts w:ascii="Arial" w:hAnsi="Arial" w:cs="Arial"/>
        </w:rPr>
        <w:t xml:space="preserve"> the need for testing finished product will fall</w:t>
      </w:r>
      <w:r w:rsidR="00122C1B">
        <w:rPr>
          <w:rFonts w:ascii="Arial" w:hAnsi="Arial" w:cs="Arial"/>
        </w:rPr>
        <w:t>.</w:t>
      </w:r>
      <w:r w:rsidR="00CC0EAE">
        <w:rPr>
          <w:rFonts w:ascii="Arial" w:hAnsi="Arial" w:cs="Arial"/>
        </w:rPr>
        <w:t xml:space="preserve"> This assumption is reflected in the calculation of additional costs.</w:t>
      </w:r>
    </w:p>
    <w:p w:rsidR="006B38D4" w:rsidRPr="00690F06" w:rsidRDefault="006B38D4" w:rsidP="006B38D4">
      <w:pPr>
        <w:spacing w:after="240"/>
        <w:rPr>
          <w:rFonts w:ascii="Arial" w:hAnsi="Arial" w:cs="Arial"/>
        </w:rPr>
      </w:pPr>
      <w:r>
        <w:rPr>
          <w:rFonts w:ascii="Arial" w:hAnsi="Arial" w:cs="Arial"/>
        </w:rPr>
        <w:t>Gaining a better understanding of these costs</w:t>
      </w:r>
      <w:r w:rsidR="00CC0EAE">
        <w:rPr>
          <w:rFonts w:ascii="Arial" w:hAnsi="Arial" w:cs="Arial"/>
        </w:rPr>
        <w:t xml:space="preserve"> via stakeholder consultation</w:t>
      </w:r>
      <w:r>
        <w:rPr>
          <w:rFonts w:ascii="Arial" w:hAnsi="Arial" w:cs="Arial"/>
        </w:rPr>
        <w:t xml:space="preserve"> will assist in understanding the overall cost burden for Australian business in an environment where it appears the majority of international suppliers are </w:t>
      </w:r>
      <w:r w:rsidR="00EC0AE1">
        <w:rPr>
          <w:rFonts w:ascii="Arial" w:hAnsi="Arial" w:cs="Arial"/>
        </w:rPr>
        <w:t xml:space="preserve">already </w:t>
      </w:r>
      <w:r>
        <w:rPr>
          <w:rFonts w:ascii="Arial" w:hAnsi="Arial" w:cs="Arial"/>
        </w:rPr>
        <w:t>meeting international regulatory requirements for direct and prolonged contact articles.</w:t>
      </w:r>
    </w:p>
    <w:p w:rsidR="000D1D68" w:rsidRDefault="000D1D68" w:rsidP="000D1D68">
      <w:pPr>
        <w:spacing w:after="240"/>
        <w:rPr>
          <w:rFonts w:ascii="Arial" w:hAnsi="Arial" w:cs="Arial"/>
        </w:rPr>
      </w:pPr>
      <w:r w:rsidRPr="006B38D4">
        <w:rPr>
          <w:rFonts w:ascii="Arial" w:hAnsi="Arial" w:cs="Arial"/>
        </w:rPr>
        <w:t>No responses to the request for information were received from</w:t>
      </w:r>
      <w:r w:rsidR="00EC0AE1">
        <w:rPr>
          <w:rFonts w:ascii="Arial" w:hAnsi="Arial" w:cs="Arial"/>
        </w:rPr>
        <w:t xml:space="preserve"> suppliers that identified as</w:t>
      </w:r>
      <w:r w:rsidRPr="006B38D4">
        <w:rPr>
          <w:rFonts w:ascii="Arial" w:hAnsi="Arial" w:cs="Arial"/>
        </w:rPr>
        <w:t xml:space="preserve"> ‘bargain’ outlets. These suppliers are typically small</w:t>
      </w:r>
      <w:r w:rsidR="000D09B7">
        <w:rPr>
          <w:rFonts w:ascii="Arial" w:hAnsi="Arial" w:cs="Arial"/>
        </w:rPr>
        <w:t xml:space="preserve">, purchase products from manufacturers or sourcing intermediaries </w:t>
      </w:r>
      <w:r w:rsidR="00623744">
        <w:rPr>
          <w:rFonts w:ascii="Arial" w:hAnsi="Arial" w:cs="Arial"/>
        </w:rPr>
        <w:t xml:space="preserve">with whom </w:t>
      </w:r>
      <w:r w:rsidR="000D09B7">
        <w:rPr>
          <w:rFonts w:ascii="Arial" w:hAnsi="Arial" w:cs="Arial"/>
        </w:rPr>
        <w:t xml:space="preserve">they do not have an ongoing relationship </w:t>
      </w:r>
      <w:r w:rsidRPr="006B38D4">
        <w:rPr>
          <w:rFonts w:ascii="Arial" w:hAnsi="Arial" w:cs="Arial"/>
        </w:rPr>
        <w:t xml:space="preserve">and </w:t>
      </w:r>
      <w:r w:rsidR="00623744">
        <w:rPr>
          <w:rFonts w:ascii="Arial" w:hAnsi="Arial" w:cs="Arial"/>
        </w:rPr>
        <w:t xml:space="preserve">who </w:t>
      </w:r>
      <w:r w:rsidR="000D09B7">
        <w:rPr>
          <w:rFonts w:ascii="Arial" w:hAnsi="Arial" w:cs="Arial"/>
        </w:rPr>
        <w:t xml:space="preserve">are </w:t>
      </w:r>
      <w:r w:rsidRPr="006B38D4">
        <w:rPr>
          <w:rFonts w:ascii="Arial" w:hAnsi="Arial" w:cs="Arial"/>
        </w:rPr>
        <w:t xml:space="preserve">likely to source their products through low-cost </w:t>
      </w:r>
      <w:r w:rsidR="00D345CF">
        <w:rPr>
          <w:rFonts w:ascii="Arial" w:hAnsi="Arial" w:cs="Arial"/>
        </w:rPr>
        <w:t xml:space="preserve">‘off-shore’ </w:t>
      </w:r>
      <w:r w:rsidRPr="006B38D4">
        <w:rPr>
          <w:rFonts w:ascii="Arial" w:hAnsi="Arial" w:cs="Arial"/>
        </w:rPr>
        <w:t>avenues</w:t>
      </w:r>
      <w:r w:rsidR="00D345CF">
        <w:rPr>
          <w:rFonts w:ascii="Arial" w:hAnsi="Arial" w:cs="Arial"/>
        </w:rPr>
        <w:t>.</w:t>
      </w:r>
      <w:r w:rsidRPr="006B38D4">
        <w:rPr>
          <w:rFonts w:ascii="Arial" w:hAnsi="Arial" w:cs="Arial"/>
        </w:rPr>
        <w:t xml:space="preserve"> Relative to their product volume, this type of supplier is likely to experience a higher financial burden from the expectation of supply chain management and testing. This burden may result in these suppliers either leaving the market for these types of products, increasing product prices to recover costs (resulting in a higher price increase for low cost goods compared to the price increase for high cost goods) or choosing to supply the products without regard to the possible use of </w:t>
      </w:r>
      <w:r w:rsidR="00EC0AE1">
        <w:rPr>
          <w:rFonts w:ascii="Arial" w:hAnsi="Arial" w:cs="Arial"/>
        </w:rPr>
        <w:t xml:space="preserve">hazardous </w:t>
      </w:r>
      <w:r w:rsidRPr="006B38D4">
        <w:rPr>
          <w:rFonts w:ascii="Arial" w:hAnsi="Arial" w:cs="Arial"/>
        </w:rPr>
        <w:t xml:space="preserve">azo dyes. If </w:t>
      </w:r>
      <w:r w:rsidR="00EC0AE1">
        <w:rPr>
          <w:rFonts w:ascii="Arial" w:hAnsi="Arial" w:cs="Arial"/>
        </w:rPr>
        <w:t xml:space="preserve">hazardous </w:t>
      </w:r>
      <w:r w:rsidRPr="006B38D4">
        <w:rPr>
          <w:rFonts w:ascii="Arial" w:hAnsi="Arial" w:cs="Arial"/>
        </w:rPr>
        <w:t xml:space="preserve">azo dyes </w:t>
      </w:r>
      <w:r w:rsidRPr="00BE7C9E">
        <w:rPr>
          <w:rFonts w:ascii="Arial" w:hAnsi="Arial" w:cs="Arial"/>
        </w:rPr>
        <w:t xml:space="preserve">are used in these products and they are supplied, this </w:t>
      </w:r>
      <w:r w:rsidR="00EC0AE1" w:rsidRPr="00BE7C9E">
        <w:rPr>
          <w:rFonts w:ascii="Arial" w:hAnsi="Arial" w:cs="Arial"/>
        </w:rPr>
        <w:t xml:space="preserve">will </w:t>
      </w:r>
      <w:r w:rsidRPr="00BE7C9E">
        <w:rPr>
          <w:rFonts w:ascii="Arial" w:hAnsi="Arial" w:cs="Arial"/>
        </w:rPr>
        <w:t>result in unnecessary exposure of consumers to these chemicals.</w:t>
      </w:r>
    </w:p>
    <w:p w:rsidR="003C59D3" w:rsidRDefault="003C59D3" w:rsidP="003C59D3">
      <w:pPr>
        <w:spacing w:after="240"/>
        <w:rPr>
          <w:rFonts w:ascii="Arial" w:hAnsi="Arial" w:cs="Arial"/>
        </w:rPr>
      </w:pPr>
      <w:r>
        <w:rPr>
          <w:rFonts w:ascii="Arial" w:hAnsi="Arial" w:cs="Arial"/>
        </w:rPr>
        <w:t xml:space="preserve">Some suppliers expressed </w:t>
      </w:r>
      <w:r w:rsidRPr="00690F06">
        <w:rPr>
          <w:rFonts w:ascii="Arial" w:hAnsi="Arial" w:cs="Arial"/>
        </w:rPr>
        <w:t xml:space="preserve">concern </w:t>
      </w:r>
      <w:r>
        <w:rPr>
          <w:rFonts w:ascii="Arial" w:hAnsi="Arial" w:cs="Arial"/>
        </w:rPr>
        <w:t>about</w:t>
      </w:r>
      <w:r w:rsidRPr="00690F06">
        <w:rPr>
          <w:rFonts w:ascii="Arial" w:hAnsi="Arial" w:cs="Arial"/>
        </w:rPr>
        <w:t xml:space="preserve"> penalties that </w:t>
      </w:r>
      <w:r>
        <w:rPr>
          <w:rFonts w:ascii="Arial" w:hAnsi="Arial" w:cs="Arial"/>
        </w:rPr>
        <w:t xml:space="preserve">could </w:t>
      </w:r>
      <w:r w:rsidRPr="00690F06">
        <w:rPr>
          <w:rFonts w:ascii="Arial" w:hAnsi="Arial" w:cs="Arial"/>
        </w:rPr>
        <w:t xml:space="preserve">apply for breach of a mandatory standard. It is unclear whether </w:t>
      </w:r>
      <w:r>
        <w:rPr>
          <w:rFonts w:ascii="Arial" w:hAnsi="Arial" w:cs="Arial"/>
        </w:rPr>
        <w:t>this concern wa</w:t>
      </w:r>
      <w:r w:rsidRPr="00690F06">
        <w:rPr>
          <w:rFonts w:ascii="Arial" w:hAnsi="Arial" w:cs="Arial"/>
        </w:rPr>
        <w:t xml:space="preserve">s driven by the financial cost </w:t>
      </w:r>
      <w:r>
        <w:rPr>
          <w:rFonts w:ascii="Arial" w:hAnsi="Arial" w:cs="Arial"/>
        </w:rPr>
        <w:t xml:space="preserve">of such penalties </w:t>
      </w:r>
      <w:r w:rsidRPr="00690F06">
        <w:rPr>
          <w:rFonts w:ascii="Arial" w:hAnsi="Arial" w:cs="Arial"/>
        </w:rPr>
        <w:t>or the cost associated with reputation or brand damage.</w:t>
      </w:r>
      <w:r w:rsidRPr="00DE05A7">
        <w:rPr>
          <w:rFonts w:ascii="Arial" w:hAnsi="Arial" w:cs="Arial"/>
        </w:rPr>
        <w:t xml:space="preserve"> </w:t>
      </w:r>
      <w:r>
        <w:rPr>
          <w:rFonts w:ascii="Arial" w:hAnsi="Arial" w:cs="Arial"/>
        </w:rPr>
        <w:t>Because of the significant penalties that would apply under a regulatory option, suppliers that detect aromatic amines in their products may be less likely to inform the ACCC of the breach</w:t>
      </w:r>
      <w:r w:rsidR="00CC0EAE">
        <w:rPr>
          <w:rFonts w:ascii="Arial" w:hAnsi="Arial" w:cs="Arial"/>
        </w:rPr>
        <w:t xml:space="preserve"> (compared to their approach to engagement with the ACCC under a non-regulatory option)</w:t>
      </w:r>
      <w:r>
        <w:rPr>
          <w:rFonts w:ascii="Arial" w:hAnsi="Arial" w:cs="Arial"/>
        </w:rPr>
        <w:t xml:space="preserve">, for fear of </w:t>
      </w:r>
      <w:r w:rsidR="00F23314">
        <w:rPr>
          <w:rFonts w:ascii="Arial" w:hAnsi="Arial" w:cs="Arial"/>
        </w:rPr>
        <w:t xml:space="preserve">facing </w:t>
      </w:r>
      <w:r>
        <w:rPr>
          <w:rFonts w:ascii="Arial" w:hAnsi="Arial" w:cs="Arial"/>
        </w:rPr>
        <w:t>penalties</w:t>
      </w:r>
      <w:r w:rsidR="00F23314">
        <w:rPr>
          <w:rFonts w:ascii="Arial" w:hAnsi="Arial" w:cs="Arial"/>
        </w:rPr>
        <w:t xml:space="preserve"> for breaching regulations</w:t>
      </w:r>
      <w:r w:rsidR="00CC0EAE">
        <w:rPr>
          <w:rFonts w:ascii="Arial" w:hAnsi="Arial" w:cs="Arial"/>
        </w:rPr>
        <w:t>.</w:t>
      </w:r>
      <w:r>
        <w:rPr>
          <w:rFonts w:ascii="Arial" w:hAnsi="Arial" w:cs="Arial"/>
        </w:rPr>
        <w:t xml:space="preserve"> Any reluctance to notify the regulator of problems and detections could even be counter-productive by failing to protect consumers from hazardous azo dyes.</w:t>
      </w:r>
    </w:p>
    <w:p w:rsidR="00313837" w:rsidRPr="00D330EE" w:rsidRDefault="00313837" w:rsidP="00D330EE">
      <w:pPr>
        <w:spacing w:after="240"/>
        <w:rPr>
          <w:rFonts w:ascii="Arial" w:hAnsi="Arial" w:cs="Arial"/>
        </w:rPr>
      </w:pPr>
      <w:r w:rsidRPr="00D330EE">
        <w:rPr>
          <w:rFonts w:ascii="Arial" w:hAnsi="Arial" w:cs="Arial"/>
        </w:rPr>
        <w:t>Penalties for breach of a regulation made under the ACL, such as a mandatory standard</w:t>
      </w:r>
      <w:r w:rsidR="00B41432">
        <w:rPr>
          <w:rFonts w:ascii="Arial" w:hAnsi="Arial" w:cs="Arial"/>
        </w:rPr>
        <w:t xml:space="preserve">, are determined by the Court. </w:t>
      </w:r>
      <w:r w:rsidRPr="00D330EE">
        <w:rPr>
          <w:rFonts w:ascii="Arial" w:hAnsi="Arial" w:cs="Arial"/>
        </w:rPr>
        <w:t>Maximum penalties</w:t>
      </w:r>
      <w:r>
        <w:rPr>
          <w:rFonts w:ascii="Arial" w:hAnsi="Arial" w:cs="Arial"/>
        </w:rPr>
        <w:t>, set out in section 224 of the ACL</w:t>
      </w:r>
      <w:r w:rsidRPr="00313837">
        <w:rPr>
          <w:rFonts w:ascii="Arial" w:hAnsi="Arial" w:cs="Arial"/>
        </w:rPr>
        <w:t xml:space="preserve"> are $1.1</w:t>
      </w:r>
      <w:r>
        <w:rPr>
          <w:rFonts w:ascii="Arial" w:hAnsi="Arial" w:cs="Arial"/>
        </w:rPr>
        <w:t> </w:t>
      </w:r>
      <w:r w:rsidRPr="00D330EE">
        <w:rPr>
          <w:rFonts w:ascii="Arial" w:hAnsi="Arial" w:cs="Arial"/>
        </w:rPr>
        <w:t>million for a corporation and $220 000 for an individual</w:t>
      </w:r>
      <w:r>
        <w:rPr>
          <w:rFonts w:ascii="Arial" w:hAnsi="Arial" w:cs="Arial"/>
        </w:rPr>
        <w:t>.</w:t>
      </w:r>
    </w:p>
    <w:p w:rsidR="00313837" w:rsidRPr="00D330EE" w:rsidRDefault="00313837" w:rsidP="00D330EE">
      <w:pPr>
        <w:spacing w:after="240"/>
        <w:rPr>
          <w:rFonts w:ascii="Arial" w:hAnsi="Arial" w:cs="Arial"/>
        </w:rPr>
      </w:pPr>
      <w:r w:rsidRPr="00D330EE">
        <w:rPr>
          <w:rFonts w:ascii="Arial" w:hAnsi="Arial" w:cs="Arial"/>
        </w:rPr>
        <w:t>In determining the appropriate penalty, the Court is required to have regard to the following matters:</w:t>
      </w:r>
    </w:p>
    <w:p w:rsidR="00313837" w:rsidRPr="00D330EE" w:rsidRDefault="00122C1B" w:rsidP="00D330EE">
      <w:pPr>
        <w:numPr>
          <w:ilvl w:val="0"/>
          <w:numId w:val="46"/>
        </w:numPr>
        <w:spacing w:after="240"/>
        <w:ind w:left="567" w:hanging="567"/>
        <w:rPr>
          <w:rFonts w:cs="Arial"/>
        </w:rPr>
      </w:pPr>
      <w:r>
        <w:rPr>
          <w:rFonts w:ascii="Arial" w:hAnsi="Arial" w:cs="Arial"/>
        </w:rPr>
        <w:t>t</w:t>
      </w:r>
      <w:r w:rsidR="00313837" w:rsidRPr="00D330EE">
        <w:rPr>
          <w:rFonts w:ascii="Arial" w:hAnsi="Arial" w:cs="Arial"/>
        </w:rPr>
        <w:t>he nature and extent of the breach (how serious the breach was) and any loss or damage suffered as a result of the breach (such as whether the breach caused a serious injury)</w:t>
      </w:r>
    </w:p>
    <w:p w:rsidR="00313837" w:rsidRPr="00D330EE" w:rsidRDefault="00122C1B" w:rsidP="00D330EE">
      <w:pPr>
        <w:numPr>
          <w:ilvl w:val="0"/>
          <w:numId w:val="46"/>
        </w:numPr>
        <w:spacing w:after="240"/>
        <w:ind w:left="567" w:hanging="567"/>
        <w:rPr>
          <w:rFonts w:ascii="Arial" w:hAnsi="Arial" w:cs="Arial"/>
        </w:rPr>
      </w:pPr>
      <w:r>
        <w:rPr>
          <w:rFonts w:ascii="Arial" w:hAnsi="Arial" w:cs="Arial"/>
        </w:rPr>
        <w:t>t</w:t>
      </w:r>
      <w:r w:rsidR="00313837" w:rsidRPr="00D330EE">
        <w:rPr>
          <w:rFonts w:ascii="Arial" w:hAnsi="Arial" w:cs="Arial"/>
        </w:rPr>
        <w:t>he circumstances in which the breach took place</w:t>
      </w:r>
    </w:p>
    <w:p w:rsidR="00313837" w:rsidRPr="00D330EE" w:rsidRDefault="00122C1B" w:rsidP="00D330EE">
      <w:pPr>
        <w:numPr>
          <w:ilvl w:val="0"/>
          <w:numId w:val="46"/>
        </w:numPr>
        <w:spacing w:after="240"/>
        <w:ind w:left="567" w:hanging="567"/>
        <w:rPr>
          <w:rFonts w:cs="Arial"/>
        </w:rPr>
      </w:pPr>
      <w:proofErr w:type="gramStart"/>
      <w:r>
        <w:rPr>
          <w:rFonts w:ascii="Arial" w:hAnsi="Arial" w:cs="Arial"/>
        </w:rPr>
        <w:t>w</w:t>
      </w:r>
      <w:r w:rsidR="00313837" w:rsidRPr="00D330EE">
        <w:rPr>
          <w:rFonts w:ascii="Arial" w:hAnsi="Arial" w:cs="Arial"/>
        </w:rPr>
        <w:t>hether</w:t>
      </w:r>
      <w:proofErr w:type="gramEnd"/>
      <w:r w:rsidR="00313837" w:rsidRPr="00D330EE">
        <w:rPr>
          <w:rFonts w:ascii="Arial" w:hAnsi="Arial" w:cs="Arial"/>
        </w:rPr>
        <w:t xml:space="preserve"> the supplier has previously been found by a court to have engaged in similar conduct (a court will view repeated breaches more seriously than a first breach).</w:t>
      </w:r>
    </w:p>
    <w:p w:rsidR="00313837" w:rsidRPr="00D330EE" w:rsidRDefault="00313837" w:rsidP="00D330EE">
      <w:pPr>
        <w:spacing w:after="240"/>
        <w:rPr>
          <w:rFonts w:ascii="Arial" w:hAnsi="Arial" w:cs="Arial"/>
        </w:rPr>
      </w:pPr>
      <w:r w:rsidRPr="00D330EE">
        <w:rPr>
          <w:rFonts w:ascii="Arial" w:hAnsi="Arial" w:cs="Arial"/>
        </w:rPr>
        <w:t>The Court may also have regard to factors such as:</w:t>
      </w:r>
    </w:p>
    <w:p w:rsidR="00313837" w:rsidRPr="00D330EE" w:rsidRDefault="00122C1B" w:rsidP="00D330EE">
      <w:pPr>
        <w:numPr>
          <w:ilvl w:val="0"/>
          <w:numId w:val="46"/>
        </w:numPr>
        <w:spacing w:after="240"/>
        <w:ind w:left="567" w:hanging="567"/>
        <w:rPr>
          <w:rFonts w:cs="Arial"/>
        </w:rPr>
      </w:pPr>
      <w:r>
        <w:rPr>
          <w:rFonts w:ascii="Arial" w:hAnsi="Arial" w:cs="Arial"/>
        </w:rPr>
        <w:t>t</w:t>
      </w:r>
      <w:r w:rsidR="00313837" w:rsidRPr="00D330EE">
        <w:rPr>
          <w:rFonts w:ascii="Arial" w:hAnsi="Arial" w:cs="Arial"/>
        </w:rPr>
        <w:t>he size of the supplier</w:t>
      </w:r>
    </w:p>
    <w:p w:rsidR="00313837" w:rsidRPr="00D330EE" w:rsidRDefault="00122C1B" w:rsidP="00D330EE">
      <w:pPr>
        <w:numPr>
          <w:ilvl w:val="0"/>
          <w:numId w:val="46"/>
        </w:numPr>
        <w:spacing w:after="240"/>
        <w:ind w:left="567" w:hanging="567"/>
        <w:rPr>
          <w:rFonts w:cs="Arial"/>
        </w:rPr>
      </w:pPr>
      <w:r>
        <w:rPr>
          <w:rFonts w:ascii="Arial" w:hAnsi="Arial" w:cs="Arial"/>
        </w:rPr>
        <w:lastRenderedPageBreak/>
        <w:t>t</w:t>
      </w:r>
      <w:r w:rsidR="00313837" w:rsidRPr="00D330EE">
        <w:rPr>
          <w:rFonts w:ascii="Arial" w:hAnsi="Arial" w:cs="Arial"/>
        </w:rPr>
        <w:t>he deliberateness of the breach and the period over which it extended</w:t>
      </w:r>
    </w:p>
    <w:p w:rsidR="00313837" w:rsidRPr="00D330EE" w:rsidRDefault="00122C1B" w:rsidP="00D330EE">
      <w:pPr>
        <w:numPr>
          <w:ilvl w:val="0"/>
          <w:numId w:val="46"/>
        </w:numPr>
        <w:spacing w:after="240"/>
        <w:ind w:left="567" w:hanging="567"/>
        <w:rPr>
          <w:rFonts w:cs="Arial"/>
        </w:rPr>
      </w:pPr>
      <w:r>
        <w:rPr>
          <w:rFonts w:ascii="Arial" w:hAnsi="Arial" w:cs="Arial"/>
        </w:rPr>
        <w:t>w</w:t>
      </w:r>
      <w:r w:rsidR="00313837" w:rsidRPr="00D330EE">
        <w:rPr>
          <w:rFonts w:ascii="Arial" w:hAnsi="Arial" w:cs="Arial"/>
        </w:rPr>
        <w:t>hether senior management was involved</w:t>
      </w:r>
    </w:p>
    <w:p w:rsidR="00313837" w:rsidRPr="00D330EE" w:rsidRDefault="00122C1B" w:rsidP="00D330EE">
      <w:pPr>
        <w:numPr>
          <w:ilvl w:val="0"/>
          <w:numId w:val="46"/>
        </w:numPr>
        <w:spacing w:after="240"/>
        <w:ind w:left="567" w:hanging="567"/>
        <w:rPr>
          <w:rFonts w:cs="Arial"/>
        </w:rPr>
      </w:pPr>
      <w:r>
        <w:rPr>
          <w:rFonts w:ascii="Arial" w:hAnsi="Arial" w:cs="Arial"/>
        </w:rPr>
        <w:t>w</w:t>
      </w:r>
      <w:r w:rsidR="00313837" w:rsidRPr="00D330EE">
        <w:rPr>
          <w:rFonts w:ascii="Arial" w:hAnsi="Arial" w:cs="Arial"/>
        </w:rPr>
        <w:t>hether the supplier had a culture of compliance</w:t>
      </w:r>
    </w:p>
    <w:p w:rsidR="00313837" w:rsidRPr="00D330EE" w:rsidRDefault="00122C1B" w:rsidP="00D330EE">
      <w:pPr>
        <w:numPr>
          <w:ilvl w:val="0"/>
          <w:numId w:val="46"/>
        </w:numPr>
        <w:spacing w:after="240"/>
        <w:ind w:left="567" w:hanging="567"/>
        <w:rPr>
          <w:rFonts w:cs="Arial"/>
        </w:rPr>
      </w:pPr>
      <w:r>
        <w:rPr>
          <w:rFonts w:ascii="Arial" w:hAnsi="Arial" w:cs="Arial"/>
        </w:rPr>
        <w:t>w</w:t>
      </w:r>
      <w:r w:rsidR="00313837" w:rsidRPr="00D330EE">
        <w:rPr>
          <w:rFonts w:ascii="Arial" w:hAnsi="Arial" w:cs="Arial"/>
        </w:rPr>
        <w:t>hether the supplier cooperated with the regulator once the breach was identified</w:t>
      </w:r>
    </w:p>
    <w:p w:rsidR="00313837" w:rsidRPr="00D330EE" w:rsidRDefault="00122C1B" w:rsidP="00D330EE">
      <w:pPr>
        <w:numPr>
          <w:ilvl w:val="0"/>
          <w:numId w:val="46"/>
        </w:numPr>
        <w:spacing w:after="240"/>
        <w:ind w:left="567" w:hanging="567"/>
        <w:rPr>
          <w:rFonts w:cs="Arial"/>
        </w:rPr>
      </w:pPr>
      <w:proofErr w:type="gramStart"/>
      <w:r>
        <w:rPr>
          <w:rFonts w:ascii="Arial" w:hAnsi="Arial" w:cs="Arial"/>
        </w:rPr>
        <w:t>w</w:t>
      </w:r>
      <w:r w:rsidR="00313837" w:rsidRPr="00D330EE">
        <w:rPr>
          <w:rFonts w:ascii="Arial" w:hAnsi="Arial" w:cs="Arial"/>
        </w:rPr>
        <w:t>hether</w:t>
      </w:r>
      <w:proofErr w:type="gramEnd"/>
      <w:r w:rsidR="00313837" w:rsidRPr="00D330EE">
        <w:rPr>
          <w:rFonts w:ascii="Arial" w:hAnsi="Arial" w:cs="Arial"/>
        </w:rPr>
        <w:t xml:space="preserve"> the conduct was systematic, deliberate or covert.</w:t>
      </w:r>
    </w:p>
    <w:p w:rsidR="00444E87" w:rsidRDefault="00444E87" w:rsidP="003C59D3">
      <w:pPr>
        <w:spacing w:after="240"/>
        <w:rPr>
          <w:rFonts w:ascii="Arial" w:hAnsi="Arial" w:cs="Arial"/>
        </w:rPr>
      </w:pPr>
      <w:r>
        <w:rPr>
          <w:rFonts w:ascii="Arial" w:hAnsi="Arial" w:cs="Arial"/>
        </w:rPr>
        <w:t>As noted earlier, the ACCC exercises its discretion to direct resources to the investigation and resolution of matters that provide the greatest overall benefit for competition and consumers. Where companies have strong compliance cultures and good supporting systems in place, and/or strong stewardship processes exist, the ACCC is unlikely to pursue matters that are isolated events.</w:t>
      </w:r>
    </w:p>
    <w:p w:rsidR="00313837" w:rsidRPr="00690F06" w:rsidRDefault="001E7691" w:rsidP="001E7691">
      <w:pPr>
        <w:spacing w:after="240"/>
        <w:rPr>
          <w:rFonts w:ascii="Arial" w:hAnsi="Arial" w:cs="Arial"/>
        </w:rPr>
      </w:pPr>
      <w:r>
        <w:rPr>
          <w:rFonts w:ascii="Arial" w:hAnsi="Arial" w:cs="Arial"/>
        </w:rPr>
        <w:t>Where a specific regulation is introduced,</w:t>
      </w:r>
      <w:r w:rsidR="00CC0EAE">
        <w:rPr>
          <w:rFonts w:ascii="Arial" w:hAnsi="Arial" w:cs="Arial"/>
        </w:rPr>
        <w:t xml:space="preserve"> </w:t>
      </w:r>
      <w:r w:rsidR="00313837">
        <w:rPr>
          <w:rFonts w:ascii="Arial" w:hAnsi="Arial" w:cs="Arial"/>
        </w:rPr>
        <w:t>suppliers are expected to manage the supply of direct and prolonged contact articles so that they meet</w:t>
      </w:r>
      <w:r>
        <w:rPr>
          <w:rFonts w:ascii="Arial" w:hAnsi="Arial" w:cs="Arial"/>
        </w:rPr>
        <w:t xml:space="preserve"> that regulation. A</w:t>
      </w:r>
      <w:r w:rsidR="00313837">
        <w:rPr>
          <w:rFonts w:ascii="Arial" w:hAnsi="Arial" w:cs="Arial"/>
        </w:rPr>
        <w:t xml:space="preserve"> minority of suppliers </w:t>
      </w:r>
      <w:r>
        <w:rPr>
          <w:rFonts w:ascii="Arial" w:hAnsi="Arial" w:cs="Arial"/>
        </w:rPr>
        <w:t>may be</w:t>
      </w:r>
      <w:r w:rsidR="00313837">
        <w:rPr>
          <w:rFonts w:ascii="Arial" w:hAnsi="Arial" w:cs="Arial"/>
        </w:rPr>
        <w:t xml:space="preserve"> unwilling to </w:t>
      </w:r>
      <w:r w:rsidR="00547652">
        <w:rPr>
          <w:rFonts w:ascii="Arial" w:hAnsi="Arial" w:cs="Arial"/>
        </w:rPr>
        <w:t xml:space="preserve">change/improve practices to ensure unsafe articles are </w:t>
      </w:r>
      <w:r>
        <w:rPr>
          <w:rFonts w:ascii="Arial" w:hAnsi="Arial" w:cs="Arial"/>
        </w:rPr>
        <w:t xml:space="preserve">not </w:t>
      </w:r>
      <w:r w:rsidR="00547652">
        <w:rPr>
          <w:rFonts w:ascii="Arial" w:hAnsi="Arial" w:cs="Arial"/>
        </w:rPr>
        <w:t>supplied to Australian consumers</w:t>
      </w:r>
      <w:r>
        <w:rPr>
          <w:rFonts w:ascii="Arial" w:hAnsi="Arial" w:cs="Arial"/>
        </w:rPr>
        <w:t>.</w:t>
      </w:r>
      <w:r w:rsidR="00753A2E">
        <w:rPr>
          <w:rFonts w:ascii="Arial" w:hAnsi="Arial" w:cs="Arial"/>
        </w:rPr>
        <w:t xml:space="preserve"> In these circumstances, w</w:t>
      </w:r>
      <w:r>
        <w:rPr>
          <w:rFonts w:ascii="Arial" w:hAnsi="Arial" w:cs="Arial"/>
        </w:rPr>
        <w:t>here suppliers are aware of and wish to avoid penalties for non-compliance</w:t>
      </w:r>
      <w:r w:rsidR="00753A2E">
        <w:rPr>
          <w:rFonts w:ascii="Arial" w:hAnsi="Arial" w:cs="Arial"/>
        </w:rPr>
        <w:t>,</w:t>
      </w:r>
      <w:r w:rsidR="00547652">
        <w:rPr>
          <w:rFonts w:ascii="Arial" w:hAnsi="Arial" w:cs="Arial"/>
        </w:rPr>
        <w:t xml:space="preserve"> </w:t>
      </w:r>
      <w:r w:rsidR="00753A2E">
        <w:rPr>
          <w:rFonts w:ascii="Arial" w:hAnsi="Arial" w:cs="Arial"/>
        </w:rPr>
        <w:t>they may choose to exit</w:t>
      </w:r>
      <w:r w:rsidR="00547652">
        <w:rPr>
          <w:rFonts w:ascii="Arial" w:hAnsi="Arial" w:cs="Arial"/>
        </w:rPr>
        <w:t xml:space="preserve"> the industry. </w:t>
      </w:r>
    </w:p>
    <w:p w:rsidR="00C80AF8" w:rsidRPr="003C59D3" w:rsidRDefault="003C59D3" w:rsidP="00AA6F25">
      <w:pPr>
        <w:spacing w:after="240"/>
        <w:rPr>
          <w:rFonts w:ascii="Arial" w:hAnsi="Arial" w:cs="Arial"/>
          <w:i/>
        </w:rPr>
      </w:pPr>
      <w:r w:rsidRPr="003C59D3">
        <w:rPr>
          <w:rFonts w:ascii="Arial" w:hAnsi="Arial" w:cs="Arial"/>
          <w:i/>
        </w:rPr>
        <w:t>Costs to consumers</w:t>
      </w:r>
    </w:p>
    <w:p w:rsidR="00AA6F25" w:rsidRPr="00690F06" w:rsidRDefault="005028BB" w:rsidP="00AA6F25">
      <w:pPr>
        <w:spacing w:after="240"/>
        <w:rPr>
          <w:rFonts w:ascii="Arial" w:hAnsi="Arial" w:cs="Arial"/>
        </w:rPr>
      </w:pPr>
      <w:r>
        <w:rPr>
          <w:rFonts w:ascii="Arial" w:hAnsi="Arial" w:cs="Arial"/>
        </w:rPr>
        <w:t>As noted above, i</w:t>
      </w:r>
      <w:r w:rsidR="00AA6F25" w:rsidRPr="00690F06">
        <w:rPr>
          <w:rFonts w:ascii="Arial" w:hAnsi="Arial" w:cs="Arial"/>
        </w:rPr>
        <w:t xml:space="preserve">t is unclear from industry </w:t>
      </w:r>
      <w:proofErr w:type="gramStart"/>
      <w:r w:rsidR="00AA6F25" w:rsidRPr="00690F06">
        <w:rPr>
          <w:rFonts w:ascii="Arial" w:hAnsi="Arial" w:cs="Arial"/>
        </w:rPr>
        <w:t>submissions</w:t>
      </w:r>
      <w:r w:rsidR="00466D69">
        <w:rPr>
          <w:rFonts w:ascii="Arial" w:hAnsi="Arial" w:cs="Arial"/>
        </w:rPr>
        <w:t>,</w:t>
      </w:r>
      <w:proofErr w:type="gramEnd"/>
      <w:r w:rsidR="00AA6F25" w:rsidRPr="00690F06">
        <w:rPr>
          <w:rFonts w:ascii="Arial" w:hAnsi="Arial" w:cs="Arial"/>
        </w:rPr>
        <w:t xml:space="preserve"> </w:t>
      </w:r>
      <w:r w:rsidR="00466D69">
        <w:rPr>
          <w:rFonts w:ascii="Arial" w:hAnsi="Arial" w:cs="Arial"/>
        </w:rPr>
        <w:t>to what extent</w:t>
      </w:r>
      <w:r w:rsidR="00AA6F25" w:rsidRPr="00690F06">
        <w:rPr>
          <w:rFonts w:ascii="Arial" w:hAnsi="Arial" w:cs="Arial"/>
        </w:rPr>
        <w:t xml:space="preserve"> </w:t>
      </w:r>
      <w:r>
        <w:rPr>
          <w:rFonts w:ascii="Arial" w:hAnsi="Arial" w:cs="Arial"/>
        </w:rPr>
        <w:t xml:space="preserve">the </w:t>
      </w:r>
      <w:r w:rsidR="00AA6F25" w:rsidRPr="00690F06">
        <w:rPr>
          <w:rFonts w:ascii="Arial" w:hAnsi="Arial" w:cs="Arial"/>
        </w:rPr>
        <w:t xml:space="preserve">costs </w:t>
      </w:r>
      <w:r>
        <w:rPr>
          <w:rFonts w:ascii="Arial" w:hAnsi="Arial" w:cs="Arial"/>
        </w:rPr>
        <w:t xml:space="preserve">associated with this option </w:t>
      </w:r>
      <w:r w:rsidR="00AA6F25" w:rsidRPr="00690F06">
        <w:rPr>
          <w:rFonts w:ascii="Arial" w:hAnsi="Arial" w:cs="Arial"/>
        </w:rPr>
        <w:t xml:space="preserve">exceed the implicit costs of maintaining appropriate </w:t>
      </w:r>
      <w:r w:rsidR="00C80AF8">
        <w:rPr>
          <w:rFonts w:ascii="Arial" w:hAnsi="Arial" w:cs="Arial"/>
        </w:rPr>
        <w:t xml:space="preserve">product </w:t>
      </w:r>
      <w:r w:rsidR="00AA6F25" w:rsidRPr="00690F06">
        <w:rPr>
          <w:rFonts w:ascii="Arial" w:hAnsi="Arial" w:cs="Arial"/>
        </w:rPr>
        <w:t>stewardship</w:t>
      </w:r>
      <w:r w:rsidR="00C80AF8">
        <w:rPr>
          <w:rFonts w:ascii="Arial" w:hAnsi="Arial" w:cs="Arial"/>
        </w:rPr>
        <w:t xml:space="preserve"> </w:t>
      </w:r>
      <w:r>
        <w:rPr>
          <w:rFonts w:ascii="Arial" w:hAnsi="Arial" w:cs="Arial"/>
        </w:rPr>
        <w:t xml:space="preserve">under existing legislative and contractual obligations. </w:t>
      </w:r>
    </w:p>
    <w:p w:rsidR="00AA6F25" w:rsidRDefault="00AA6F25" w:rsidP="00AA6F25">
      <w:pPr>
        <w:spacing w:after="240"/>
        <w:rPr>
          <w:rFonts w:ascii="Arial" w:hAnsi="Arial" w:cs="Arial"/>
        </w:rPr>
      </w:pPr>
      <w:r w:rsidRPr="00690F06">
        <w:rPr>
          <w:rFonts w:ascii="Arial" w:hAnsi="Arial" w:cs="Arial"/>
        </w:rPr>
        <w:t xml:space="preserve">Any increased costs </w:t>
      </w:r>
      <w:r w:rsidR="00EC0AE1">
        <w:rPr>
          <w:rFonts w:ascii="Arial" w:hAnsi="Arial" w:cs="Arial"/>
        </w:rPr>
        <w:t xml:space="preserve">to suppliers </w:t>
      </w:r>
      <w:r w:rsidRPr="00690F06">
        <w:rPr>
          <w:rFonts w:ascii="Arial" w:hAnsi="Arial" w:cs="Arial"/>
        </w:rPr>
        <w:t>would be either absorbed by suppliers or wholly or partially passed on</w:t>
      </w:r>
      <w:r>
        <w:rPr>
          <w:rFonts w:ascii="Arial" w:hAnsi="Arial" w:cs="Arial"/>
        </w:rPr>
        <w:t xml:space="preserve"> </w:t>
      </w:r>
      <w:r w:rsidRPr="00690F06">
        <w:rPr>
          <w:rFonts w:ascii="Arial" w:hAnsi="Arial" w:cs="Arial"/>
        </w:rPr>
        <w:t>to consumers. Submissions from business were divided on whether additional costs would be passed on to consumers. A number of suppliers indicated that they would pass on these costs with one large supplier stating that the impact could result in an increase of 10</w:t>
      </w:r>
      <w:r>
        <w:rPr>
          <w:rFonts w:ascii="Arial" w:hAnsi="Arial" w:cs="Arial"/>
        </w:rPr>
        <w:t> </w:t>
      </w:r>
      <w:r w:rsidRPr="00690F06">
        <w:rPr>
          <w:rFonts w:ascii="Arial" w:hAnsi="Arial" w:cs="Arial"/>
        </w:rPr>
        <w:t>cents per individual garment</w:t>
      </w:r>
      <w:r w:rsidR="00BE7C9E">
        <w:rPr>
          <w:rFonts w:ascii="Arial" w:hAnsi="Arial" w:cs="Arial"/>
        </w:rPr>
        <w:t xml:space="preserve">. </w:t>
      </w:r>
      <w:r w:rsidR="00466D69">
        <w:rPr>
          <w:rFonts w:ascii="Arial" w:hAnsi="Arial" w:cs="Arial"/>
        </w:rPr>
        <w:t>While this may appear to have</w:t>
      </w:r>
      <w:r w:rsidR="00693E23">
        <w:rPr>
          <w:rFonts w:ascii="Arial" w:hAnsi="Arial" w:cs="Arial"/>
        </w:rPr>
        <w:t xml:space="preserve"> a minimal impact on consumers</w:t>
      </w:r>
      <w:r w:rsidR="00466D69">
        <w:rPr>
          <w:rFonts w:ascii="Arial" w:hAnsi="Arial" w:cs="Arial"/>
        </w:rPr>
        <w:t>, it may have greater impact on consumers with low incomes and large families.</w:t>
      </w:r>
      <w:r w:rsidR="00693E23">
        <w:rPr>
          <w:rFonts w:ascii="Arial" w:hAnsi="Arial" w:cs="Arial"/>
        </w:rPr>
        <w:t xml:space="preserve"> </w:t>
      </w:r>
      <w:r w:rsidRPr="00690F06">
        <w:rPr>
          <w:rFonts w:ascii="Arial" w:hAnsi="Arial" w:cs="Arial"/>
        </w:rPr>
        <w:t>Other suppliers stated that they would absorb any additional costs</w:t>
      </w:r>
      <w:r>
        <w:rPr>
          <w:rFonts w:ascii="Arial" w:hAnsi="Arial" w:cs="Arial"/>
        </w:rPr>
        <w:t>,</w:t>
      </w:r>
      <w:r w:rsidRPr="00690F06">
        <w:rPr>
          <w:rFonts w:ascii="Arial" w:hAnsi="Arial" w:cs="Arial"/>
        </w:rPr>
        <w:t xml:space="preserve"> which would in turn impact retailer margin </w:t>
      </w:r>
      <w:r>
        <w:rPr>
          <w:rFonts w:ascii="Arial" w:hAnsi="Arial" w:cs="Arial"/>
        </w:rPr>
        <w:t>but</w:t>
      </w:r>
      <w:r w:rsidRPr="00690F06">
        <w:rPr>
          <w:rFonts w:ascii="Arial" w:hAnsi="Arial" w:cs="Arial"/>
        </w:rPr>
        <w:t xml:space="preserve"> not result in increased consumer costs.</w:t>
      </w:r>
    </w:p>
    <w:p w:rsidR="00D32492" w:rsidRDefault="00D32492" w:rsidP="00D32492">
      <w:pPr>
        <w:spacing w:after="240"/>
        <w:rPr>
          <w:rFonts w:ascii="Arial" w:hAnsi="Arial" w:cs="Arial"/>
        </w:rPr>
      </w:pPr>
      <w:r>
        <w:rPr>
          <w:rFonts w:ascii="Arial" w:hAnsi="Arial" w:cs="Arial"/>
        </w:rPr>
        <w:t>The ACCC’s estimate of the increase in the price of direct and prolonged contact articles will be 6 cents per article in the first year of regulation and 2 cents per article in the last y</w:t>
      </w:r>
      <w:r w:rsidR="00B94458">
        <w:rPr>
          <w:rFonts w:ascii="Arial" w:hAnsi="Arial" w:cs="Arial"/>
        </w:rPr>
        <w:t>ear of the 10 year period (see A</w:t>
      </w:r>
      <w:r>
        <w:rPr>
          <w:rFonts w:ascii="Arial" w:hAnsi="Arial" w:cs="Arial"/>
        </w:rPr>
        <w:t>ttachment 8 for further information). This assumes all additional costs incurred by business, as estimated by the ACCC, are passed on to consumers via higher prices.</w:t>
      </w:r>
      <w:r w:rsidRPr="00CC0EAE">
        <w:rPr>
          <w:rFonts w:ascii="Arial" w:hAnsi="Arial" w:cs="Arial"/>
        </w:rPr>
        <w:t xml:space="preserve"> </w:t>
      </w:r>
    </w:p>
    <w:p w:rsidR="00AA6F25" w:rsidRDefault="00AA6F25" w:rsidP="00AA6F25">
      <w:pPr>
        <w:spacing w:after="240"/>
        <w:rPr>
          <w:rFonts w:ascii="Arial" w:hAnsi="Arial" w:cs="Arial"/>
        </w:rPr>
      </w:pPr>
      <w:r w:rsidRPr="00690F06">
        <w:rPr>
          <w:rFonts w:ascii="Arial" w:hAnsi="Arial" w:cs="Arial"/>
        </w:rPr>
        <w:t xml:space="preserve">Ultimately it may be that any increase </w:t>
      </w:r>
      <w:r w:rsidR="001A7157">
        <w:rPr>
          <w:rFonts w:ascii="Arial" w:hAnsi="Arial" w:cs="Arial"/>
        </w:rPr>
        <w:t xml:space="preserve">in costs </w:t>
      </w:r>
      <w:r w:rsidRPr="00690F06">
        <w:rPr>
          <w:rFonts w:ascii="Arial" w:hAnsi="Arial" w:cs="Arial"/>
        </w:rPr>
        <w:t xml:space="preserve">attributable to this </w:t>
      </w:r>
      <w:r>
        <w:rPr>
          <w:rFonts w:ascii="Arial" w:hAnsi="Arial" w:cs="Arial"/>
        </w:rPr>
        <w:t>option</w:t>
      </w:r>
      <w:r w:rsidRPr="00690F06">
        <w:rPr>
          <w:rFonts w:ascii="Arial" w:hAnsi="Arial" w:cs="Arial"/>
        </w:rPr>
        <w:t xml:space="preserve"> would be very small at a </w:t>
      </w:r>
      <w:r>
        <w:rPr>
          <w:rFonts w:ascii="Arial" w:hAnsi="Arial" w:cs="Arial"/>
        </w:rPr>
        <w:t>‘</w:t>
      </w:r>
      <w:r w:rsidRPr="00690F06">
        <w:rPr>
          <w:rFonts w:ascii="Arial" w:hAnsi="Arial" w:cs="Arial"/>
        </w:rPr>
        <w:t>per unit</w:t>
      </w:r>
      <w:r>
        <w:rPr>
          <w:rFonts w:ascii="Arial" w:hAnsi="Arial" w:cs="Arial"/>
        </w:rPr>
        <w:t>’</w:t>
      </w:r>
      <w:r w:rsidRPr="00690F06">
        <w:rPr>
          <w:rFonts w:ascii="Arial" w:hAnsi="Arial" w:cs="Arial"/>
        </w:rPr>
        <w:t xml:space="preserve"> level and cumulatively may be a reasonable price for consumers to pay</w:t>
      </w:r>
      <w:r>
        <w:rPr>
          <w:rFonts w:ascii="Arial" w:hAnsi="Arial" w:cs="Arial"/>
        </w:rPr>
        <w:t xml:space="preserve"> to reduce their exposure to hazardous chemicals</w:t>
      </w:r>
      <w:r w:rsidRPr="00690F06">
        <w:rPr>
          <w:rFonts w:ascii="Arial" w:hAnsi="Arial" w:cs="Arial"/>
        </w:rPr>
        <w:t xml:space="preserve">. More and better attributed costing information from industry </w:t>
      </w:r>
      <w:r>
        <w:rPr>
          <w:rFonts w:ascii="Arial" w:hAnsi="Arial" w:cs="Arial"/>
        </w:rPr>
        <w:t>would</w:t>
      </w:r>
      <w:r w:rsidRPr="00690F06">
        <w:rPr>
          <w:rFonts w:ascii="Arial" w:hAnsi="Arial" w:cs="Arial"/>
        </w:rPr>
        <w:t xml:space="preserve"> further inform this analysis.</w:t>
      </w:r>
    </w:p>
    <w:p w:rsidR="00A16113" w:rsidRDefault="00A16113" w:rsidP="00AA6F25">
      <w:pPr>
        <w:spacing w:after="240"/>
        <w:rPr>
          <w:rFonts w:ascii="Arial" w:hAnsi="Arial" w:cs="Arial"/>
        </w:rPr>
      </w:pPr>
    </w:p>
    <w:p w:rsidR="003C59D3" w:rsidRPr="003C59D3" w:rsidRDefault="003C59D3" w:rsidP="00E73837">
      <w:pPr>
        <w:keepNext/>
        <w:spacing w:after="240"/>
        <w:rPr>
          <w:rFonts w:ascii="Arial" w:hAnsi="Arial" w:cs="Arial"/>
          <w:i/>
        </w:rPr>
      </w:pPr>
      <w:r w:rsidRPr="003C59D3">
        <w:rPr>
          <w:rFonts w:ascii="Arial" w:hAnsi="Arial" w:cs="Arial"/>
          <w:i/>
        </w:rPr>
        <w:lastRenderedPageBreak/>
        <w:t>Costs to government</w:t>
      </w:r>
    </w:p>
    <w:p w:rsidR="00AA6F25" w:rsidRDefault="00AA6F25" w:rsidP="00AA6F25">
      <w:pPr>
        <w:spacing w:after="240"/>
        <w:rPr>
          <w:rFonts w:ascii="Arial" w:hAnsi="Arial" w:cs="Arial"/>
        </w:rPr>
      </w:pPr>
      <w:r>
        <w:rPr>
          <w:rFonts w:ascii="Arial" w:hAnsi="Arial" w:cs="Arial"/>
        </w:rPr>
        <w:t xml:space="preserve">The ACCC would </w:t>
      </w:r>
      <w:r w:rsidR="008B2414">
        <w:rPr>
          <w:rFonts w:ascii="Arial" w:hAnsi="Arial" w:cs="Arial"/>
        </w:rPr>
        <w:t>absorb</w:t>
      </w:r>
      <w:r>
        <w:rPr>
          <w:rFonts w:ascii="Arial" w:hAnsi="Arial" w:cs="Arial"/>
        </w:rPr>
        <w:t xml:space="preserve"> the costs of development and maintenance of regulation. </w:t>
      </w:r>
      <w:r w:rsidRPr="00690F06">
        <w:rPr>
          <w:rFonts w:ascii="Arial" w:hAnsi="Arial" w:cs="Arial"/>
        </w:rPr>
        <w:t xml:space="preserve">The </w:t>
      </w:r>
      <w:r>
        <w:rPr>
          <w:rFonts w:ascii="Arial" w:hAnsi="Arial" w:cs="Arial"/>
        </w:rPr>
        <w:t xml:space="preserve">ongoing </w:t>
      </w:r>
      <w:r w:rsidRPr="00690F06">
        <w:rPr>
          <w:rFonts w:ascii="Arial" w:hAnsi="Arial" w:cs="Arial"/>
        </w:rPr>
        <w:t>costs of administering regulation for hazardous aromatic amines would be</w:t>
      </w:r>
      <w:r>
        <w:rPr>
          <w:rFonts w:ascii="Arial" w:hAnsi="Arial" w:cs="Arial"/>
        </w:rPr>
        <w:t xml:space="preserve"> similar to the costs in option 2. The ACCC would devote a proportion of its compliance budget to administering the mandatory standard and conducting testing of items in the market. This cost for staff and testing is expected to be </w:t>
      </w:r>
      <w:r w:rsidR="00DE05A7">
        <w:rPr>
          <w:rFonts w:ascii="Arial" w:hAnsi="Arial" w:cs="Arial"/>
        </w:rPr>
        <w:t>about </w:t>
      </w:r>
      <w:r>
        <w:rPr>
          <w:rFonts w:ascii="Arial" w:hAnsi="Arial" w:cs="Arial"/>
        </w:rPr>
        <w:t>$50 000</w:t>
      </w:r>
      <w:r w:rsidR="00C72C21">
        <w:rPr>
          <w:rFonts w:ascii="Arial" w:hAnsi="Arial" w:cs="Arial"/>
        </w:rPr>
        <w:t xml:space="preserve"> per year</w:t>
      </w:r>
      <w:r>
        <w:rPr>
          <w:rFonts w:ascii="Arial" w:hAnsi="Arial" w:cs="Arial"/>
        </w:rPr>
        <w:t xml:space="preserve">. Any costs of maintaining the ACCC (Product Safety Australia) website are likely to be modest and </w:t>
      </w:r>
      <w:r w:rsidRPr="00690F06">
        <w:rPr>
          <w:rFonts w:ascii="Arial" w:hAnsi="Arial" w:cs="Arial"/>
        </w:rPr>
        <w:t>would be absorbed by the ACCC.</w:t>
      </w:r>
    </w:p>
    <w:p w:rsidR="00B12B2A" w:rsidRPr="00D330EE" w:rsidRDefault="00B12B2A" w:rsidP="00AA6F25">
      <w:pPr>
        <w:spacing w:after="240"/>
        <w:rPr>
          <w:rFonts w:ascii="Arial" w:hAnsi="Arial" w:cs="Arial"/>
          <w:b/>
          <w:i/>
        </w:rPr>
      </w:pPr>
      <w:r w:rsidRPr="00D330EE">
        <w:rPr>
          <w:rFonts w:ascii="Arial" w:hAnsi="Arial" w:cs="Arial"/>
          <w:b/>
          <w:i/>
        </w:rPr>
        <w:t>Regulatory burden and cost offset estimate table</w:t>
      </w:r>
    </w:p>
    <w:p w:rsidR="00B12B2A" w:rsidRDefault="0026013B" w:rsidP="00D330EE">
      <w:pPr>
        <w:spacing w:after="240"/>
        <w:rPr>
          <w:rFonts w:ascii="Arial" w:hAnsi="Arial" w:cs="Arial"/>
        </w:rPr>
      </w:pPr>
      <w:r>
        <w:rPr>
          <w:rFonts w:ascii="Arial" w:hAnsi="Arial" w:cs="Arial"/>
        </w:rPr>
        <w:t xml:space="preserve">Table 5.3 sets out the </w:t>
      </w:r>
      <w:r w:rsidR="00B12B2A" w:rsidRPr="00D330EE">
        <w:rPr>
          <w:rFonts w:ascii="Arial" w:hAnsi="Arial" w:cs="Arial"/>
        </w:rPr>
        <w:t>regulatory burden and cost offset</w:t>
      </w:r>
      <w:r>
        <w:rPr>
          <w:rFonts w:ascii="Arial" w:hAnsi="Arial" w:cs="Arial"/>
        </w:rPr>
        <w:t xml:space="preserve"> estimate for option 3</w:t>
      </w:r>
      <w:r w:rsidR="00B12B2A" w:rsidRPr="00D330EE">
        <w:rPr>
          <w:rFonts w:ascii="Arial" w:hAnsi="Arial" w:cs="Arial"/>
        </w:rPr>
        <w:t>.</w:t>
      </w:r>
      <w:r w:rsidR="00B12B2A">
        <w:rPr>
          <w:rStyle w:val="FootnoteReference"/>
          <w:rFonts w:ascii="Arial" w:hAnsi="Arial" w:cs="Arial"/>
        </w:rPr>
        <w:footnoteReference w:id="55"/>
      </w:r>
      <w:r w:rsidR="00B12B2A" w:rsidRPr="00D330EE">
        <w:rPr>
          <w:rFonts w:ascii="Arial" w:hAnsi="Arial" w:cs="Arial"/>
        </w:rPr>
        <w:t xml:space="preserve"> </w:t>
      </w:r>
    </w:p>
    <w:p w:rsidR="00B12B2A" w:rsidRDefault="0026013B" w:rsidP="00D330EE">
      <w:pPr>
        <w:keepNext/>
        <w:spacing w:after="120"/>
        <w:rPr>
          <w:rFonts w:ascii="Arial" w:hAnsi="Arial" w:cs="Arial"/>
        </w:rPr>
      </w:pPr>
      <w:r w:rsidRPr="00D330EE">
        <w:rPr>
          <w:rFonts w:ascii="Arial" w:hAnsi="Arial" w:cs="Arial"/>
          <w:b/>
        </w:rPr>
        <w:t>Table 5.3:</w:t>
      </w:r>
      <w:r w:rsidRPr="00D330EE">
        <w:rPr>
          <w:rFonts w:ascii="Arial" w:hAnsi="Arial" w:cs="Arial"/>
          <w:b/>
        </w:rPr>
        <w:tab/>
        <w:t>Regulatory burden and cost offset estimate table for option 3</w:t>
      </w:r>
    </w:p>
    <w:tbl>
      <w:tblPr>
        <w:tblStyle w:val="LightGrid-Accent22"/>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8"/>
        <w:gridCol w:w="1646"/>
        <w:gridCol w:w="2170"/>
        <w:gridCol w:w="1946"/>
        <w:gridCol w:w="1574"/>
      </w:tblGrid>
      <w:tr w:rsidR="00B12B2A" w:rsidRPr="00B12B2A" w:rsidTr="00D330E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464" w:type="dxa"/>
            <w:gridSpan w:val="5"/>
            <w:shd w:val="clear" w:color="auto" w:fill="auto"/>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Average annual regulatory costs (from business as usual)</w:t>
            </w:r>
          </w:p>
        </w:tc>
      </w:tr>
      <w:tr w:rsidR="00B12B2A" w:rsidRPr="00B12B2A" w:rsidTr="00D330EE">
        <w:trPr>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Change in costs ($million)</w:t>
            </w:r>
          </w:p>
        </w:tc>
        <w:tc>
          <w:tcPr>
            <w:tcW w:w="1646"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Business</w:t>
            </w:r>
          </w:p>
        </w:tc>
        <w:tc>
          <w:tcPr>
            <w:tcW w:w="2170"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Community Organisations</w:t>
            </w:r>
          </w:p>
        </w:tc>
        <w:tc>
          <w:tcPr>
            <w:tcW w:w="1946"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Individuals</w:t>
            </w:r>
          </w:p>
        </w:tc>
        <w:tc>
          <w:tcPr>
            <w:tcW w:w="1574"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Total change in cost</w:t>
            </w:r>
          </w:p>
        </w:tc>
      </w:tr>
      <w:tr w:rsidR="00B12B2A" w:rsidRPr="00B12B2A" w:rsidTr="00D330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Total, by sector</w:t>
            </w:r>
          </w:p>
        </w:tc>
        <w:tc>
          <w:tcPr>
            <w:tcW w:w="1646"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w:t>
            </w:r>
            <w:r w:rsidR="00D32492">
              <w:rPr>
                <w:rFonts w:ascii="Arial" w:eastAsia="MS Gothic" w:hAnsi="Arial" w:cs="Arial"/>
                <w:bCs/>
                <w:sz w:val="18"/>
                <w:szCs w:val="18"/>
              </w:rPr>
              <w:t>18</w:t>
            </w:r>
          </w:p>
        </w:tc>
        <w:tc>
          <w:tcPr>
            <w:tcW w:w="2170"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946"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574"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w:t>
            </w:r>
            <w:r w:rsidR="00D32492">
              <w:rPr>
                <w:rFonts w:ascii="Arial" w:eastAsia="MS Gothic" w:hAnsi="Arial" w:cs="Arial"/>
                <w:bCs/>
                <w:sz w:val="18"/>
                <w:szCs w:val="18"/>
              </w:rPr>
              <w:t>18</w:t>
            </w:r>
          </w:p>
        </w:tc>
      </w:tr>
      <w:tr w:rsidR="00B12B2A" w:rsidRPr="00B12B2A" w:rsidTr="00D330EE">
        <w:trPr>
          <w:trHeight w:val="300"/>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B12B2A" w:rsidRPr="00B12B2A" w:rsidRDefault="00B12B2A" w:rsidP="00D330EE">
            <w:pPr>
              <w:keepNext/>
              <w:rPr>
                <w:rFonts w:ascii="Arial" w:hAnsi="Arial" w:cs="Arial"/>
                <w:sz w:val="18"/>
                <w:szCs w:val="18"/>
              </w:rPr>
            </w:pPr>
          </w:p>
        </w:tc>
      </w:tr>
      <w:tr w:rsidR="00B12B2A" w:rsidRPr="00B12B2A" w:rsidTr="00D330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Cost offset ($ million)</w:t>
            </w:r>
          </w:p>
        </w:tc>
        <w:tc>
          <w:tcPr>
            <w:tcW w:w="1646"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Business</w:t>
            </w:r>
          </w:p>
        </w:tc>
        <w:tc>
          <w:tcPr>
            <w:tcW w:w="2170"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Community organisations</w:t>
            </w:r>
          </w:p>
        </w:tc>
        <w:tc>
          <w:tcPr>
            <w:tcW w:w="1946"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Individuals</w:t>
            </w:r>
          </w:p>
        </w:tc>
        <w:tc>
          <w:tcPr>
            <w:tcW w:w="1574"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 xml:space="preserve">Total, by source </w:t>
            </w:r>
          </w:p>
        </w:tc>
      </w:tr>
      <w:tr w:rsidR="00B12B2A" w:rsidRPr="00B12B2A" w:rsidTr="00D330EE">
        <w:trPr>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 xml:space="preserve">Agency </w:t>
            </w:r>
          </w:p>
        </w:tc>
        <w:tc>
          <w:tcPr>
            <w:tcW w:w="1646"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2170"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946"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574"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r>
      <w:tr w:rsidR="00B12B2A" w:rsidRPr="00B12B2A" w:rsidTr="00D330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Within portfolio</w:t>
            </w:r>
          </w:p>
        </w:tc>
        <w:tc>
          <w:tcPr>
            <w:tcW w:w="1646"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w:t>
            </w:r>
            <w:r w:rsidR="00D32492">
              <w:rPr>
                <w:rFonts w:ascii="Arial" w:eastAsia="MS Gothic" w:hAnsi="Arial" w:cs="Arial"/>
                <w:bCs/>
                <w:sz w:val="18"/>
                <w:szCs w:val="18"/>
              </w:rPr>
              <w:t>18</w:t>
            </w:r>
          </w:p>
        </w:tc>
        <w:tc>
          <w:tcPr>
            <w:tcW w:w="2170"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946"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574"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w:t>
            </w:r>
            <w:r w:rsidR="00D32492">
              <w:rPr>
                <w:rFonts w:ascii="Arial" w:eastAsia="MS Gothic" w:hAnsi="Arial" w:cs="Arial"/>
                <w:bCs/>
                <w:sz w:val="18"/>
                <w:szCs w:val="18"/>
              </w:rPr>
              <w:t>18</w:t>
            </w:r>
          </w:p>
        </w:tc>
      </w:tr>
      <w:tr w:rsidR="00B12B2A" w:rsidRPr="00B12B2A" w:rsidTr="00D330EE">
        <w:trPr>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Outside portfolio</w:t>
            </w:r>
          </w:p>
        </w:tc>
        <w:tc>
          <w:tcPr>
            <w:tcW w:w="1646"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2170"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946"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574" w:type="dxa"/>
            <w:noWrap/>
          </w:tcPr>
          <w:p w:rsidR="00B12B2A" w:rsidRPr="00B12B2A" w:rsidRDefault="00B12B2A" w:rsidP="00D330EE">
            <w:pPr>
              <w:keepNext/>
              <w:spacing w:before="120" w:after="120"/>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r>
      <w:tr w:rsidR="00B12B2A" w:rsidRPr="00B12B2A" w:rsidTr="00D330E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Total by Sector</w:t>
            </w:r>
          </w:p>
        </w:tc>
        <w:tc>
          <w:tcPr>
            <w:tcW w:w="1646"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w:t>
            </w:r>
            <w:r w:rsidR="00D32492">
              <w:rPr>
                <w:rFonts w:ascii="Arial" w:eastAsia="MS Gothic" w:hAnsi="Arial" w:cs="Arial"/>
                <w:bCs/>
                <w:sz w:val="18"/>
                <w:szCs w:val="18"/>
              </w:rPr>
              <w:t>18</w:t>
            </w:r>
          </w:p>
        </w:tc>
        <w:tc>
          <w:tcPr>
            <w:tcW w:w="2170"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946"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$0</w:t>
            </w:r>
          </w:p>
        </w:tc>
        <w:tc>
          <w:tcPr>
            <w:tcW w:w="1574" w:type="dxa"/>
            <w:tcBorders>
              <w:top w:val="none" w:sz="0" w:space="0" w:color="auto"/>
              <w:left w:val="none" w:sz="0" w:space="0" w:color="auto"/>
              <w:bottom w:val="none" w:sz="0" w:space="0" w:color="auto"/>
              <w:right w:val="none" w:sz="0" w:space="0" w:color="auto"/>
            </w:tcBorders>
            <w:noWrap/>
          </w:tcPr>
          <w:p w:rsidR="00B12B2A" w:rsidRPr="00B12B2A" w:rsidRDefault="00B12B2A" w:rsidP="00D330EE">
            <w:pPr>
              <w:keepNext/>
              <w:spacing w:before="120" w:after="120"/>
              <w:cnfStyle w:val="000000010000" w:firstRow="0" w:lastRow="0" w:firstColumn="0" w:lastColumn="0" w:oddVBand="0" w:evenVBand="0" w:oddHBand="0" w:evenHBand="1" w:firstRowFirstColumn="0" w:firstRowLastColumn="0" w:lastRowFirstColumn="0" w:lastRowLastColumn="0"/>
              <w:rPr>
                <w:rFonts w:ascii="Arial" w:eastAsia="MS Gothic" w:hAnsi="Arial" w:cs="Arial"/>
                <w:bCs/>
                <w:sz w:val="18"/>
                <w:szCs w:val="18"/>
              </w:rPr>
            </w:pPr>
            <w:r w:rsidRPr="00B12B2A">
              <w:rPr>
                <w:rFonts w:ascii="Arial" w:eastAsia="MS Gothic" w:hAnsi="Arial" w:cs="Arial"/>
                <w:bCs/>
                <w:sz w:val="18"/>
                <w:szCs w:val="18"/>
              </w:rPr>
              <w:t>$</w:t>
            </w:r>
            <w:r w:rsidR="00D32492">
              <w:rPr>
                <w:rFonts w:ascii="Arial" w:eastAsia="MS Gothic" w:hAnsi="Arial" w:cs="Arial"/>
                <w:bCs/>
                <w:sz w:val="18"/>
                <w:szCs w:val="18"/>
              </w:rPr>
              <w:t>18</w:t>
            </w:r>
          </w:p>
        </w:tc>
      </w:tr>
      <w:tr w:rsidR="00B12B2A" w:rsidRPr="00B12B2A" w:rsidTr="00D330EE">
        <w:trPr>
          <w:trHeight w:val="300"/>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t xml:space="preserve">Are all new costs offset? </w:t>
            </w:r>
          </w:p>
          <w:p w:rsidR="00B12B2A" w:rsidRPr="00B12B2A" w:rsidRDefault="00B12B2A" w:rsidP="00D330EE">
            <w:pPr>
              <w:keepNext/>
              <w:spacing w:before="120" w:after="120"/>
              <w:rPr>
                <w:rFonts w:ascii="Arial" w:hAnsi="Arial" w:cs="Arial"/>
                <w:sz w:val="18"/>
                <w:szCs w:val="18"/>
              </w:rPr>
            </w:pPr>
            <w:r w:rsidRPr="00B12B2A">
              <w:rPr>
                <w:rFonts w:ascii="Arial" w:hAnsi="Arial" w:cs="Arial"/>
                <w:sz w:val="18"/>
                <w:szCs w:val="18"/>
              </w:rPr>
              <w:sym w:font="Wingdings 2" w:char="F052"/>
            </w:r>
            <w:r w:rsidRPr="00B12B2A">
              <w:rPr>
                <w:rFonts w:ascii="Arial" w:hAnsi="Arial" w:cs="Arial"/>
                <w:sz w:val="18"/>
                <w:szCs w:val="18"/>
              </w:rPr>
              <w:t xml:space="preserve"> Yes, costs are offset  </w:t>
            </w:r>
            <w:r w:rsidRPr="00B12B2A">
              <w:rPr>
                <w:rFonts w:ascii="Arial" w:hAnsi="Arial" w:cs="Arial"/>
                <w:sz w:val="18"/>
                <w:szCs w:val="18"/>
              </w:rPr>
              <w:sym w:font="Wingdings 2" w:char="F02A"/>
            </w:r>
            <w:r w:rsidRPr="00B12B2A">
              <w:rPr>
                <w:rFonts w:ascii="Arial" w:hAnsi="Arial" w:cs="Arial"/>
                <w:sz w:val="18"/>
                <w:szCs w:val="18"/>
              </w:rPr>
              <w:t xml:space="preserve"> No, costs are not offset  </w:t>
            </w:r>
            <w:r w:rsidRPr="00B12B2A">
              <w:rPr>
                <w:rFonts w:ascii="Arial" w:hAnsi="Arial" w:cs="Arial"/>
                <w:sz w:val="18"/>
                <w:szCs w:val="18"/>
              </w:rPr>
              <w:sym w:font="Wingdings 2" w:char="F02A"/>
            </w:r>
            <w:r w:rsidRPr="00B12B2A">
              <w:rPr>
                <w:rFonts w:ascii="Arial" w:hAnsi="Arial" w:cs="Arial"/>
                <w:sz w:val="18"/>
                <w:szCs w:val="18"/>
              </w:rPr>
              <w:t xml:space="preserve"> Deregulatory—no offsets required</w:t>
            </w:r>
          </w:p>
        </w:tc>
      </w:tr>
      <w:tr w:rsidR="00B12B2A" w:rsidRPr="00B12B2A" w:rsidTr="00D33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5"/>
            <w:tcBorders>
              <w:top w:val="none" w:sz="0" w:space="0" w:color="auto"/>
              <w:left w:val="none" w:sz="0" w:space="0" w:color="auto"/>
              <w:bottom w:val="none" w:sz="0" w:space="0" w:color="auto"/>
              <w:right w:val="none" w:sz="0" w:space="0" w:color="auto"/>
            </w:tcBorders>
          </w:tcPr>
          <w:p w:rsidR="00B12B2A" w:rsidRPr="00B12B2A" w:rsidRDefault="00B12B2A" w:rsidP="00B12B2A">
            <w:pPr>
              <w:spacing w:before="120" w:after="120"/>
              <w:rPr>
                <w:rFonts w:ascii="Arial" w:hAnsi="Arial" w:cs="Arial"/>
                <w:sz w:val="18"/>
                <w:szCs w:val="18"/>
              </w:rPr>
            </w:pPr>
            <w:r w:rsidRPr="00B12B2A">
              <w:rPr>
                <w:rFonts w:ascii="Arial" w:hAnsi="Arial" w:cs="Arial"/>
                <w:sz w:val="18"/>
                <w:szCs w:val="18"/>
              </w:rPr>
              <w:t>Total (Change in costs – Cost offset) ($million) = $0</w:t>
            </w:r>
          </w:p>
        </w:tc>
      </w:tr>
    </w:tbl>
    <w:p w:rsidR="00B12B2A" w:rsidRDefault="00973FE6" w:rsidP="00AA6F25">
      <w:pPr>
        <w:spacing w:after="240"/>
        <w:rPr>
          <w:rFonts w:ascii="Arial" w:hAnsi="Arial" w:cs="Arial"/>
        </w:rPr>
      </w:pPr>
      <w:r w:rsidRPr="00D841B9">
        <w:rPr>
          <w:sz w:val="16"/>
          <w:szCs w:val="16"/>
        </w:rPr>
        <w:t>Note: A regulatory offset has been identified from within the Treasury portfolio</w:t>
      </w:r>
      <w:r>
        <w:rPr>
          <w:sz w:val="16"/>
          <w:szCs w:val="16"/>
        </w:rPr>
        <w:t>,</w:t>
      </w:r>
      <w:r w:rsidRPr="00D841B9">
        <w:rPr>
          <w:sz w:val="16"/>
          <w:szCs w:val="16"/>
        </w:rPr>
        <w:t xml:space="preserve"> relat</w:t>
      </w:r>
      <w:r>
        <w:rPr>
          <w:sz w:val="16"/>
          <w:szCs w:val="16"/>
        </w:rPr>
        <w:t xml:space="preserve">ing to </w:t>
      </w:r>
      <w:r w:rsidRPr="00D841B9">
        <w:rPr>
          <w:sz w:val="16"/>
          <w:szCs w:val="16"/>
        </w:rPr>
        <w:t xml:space="preserve">the </w:t>
      </w:r>
      <w:proofErr w:type="spellStart"/>
      <w:r>
        <w:rPr>
          <w:sz w:val="16"/>
          <w:szCs w:val="16"/>
        </w:rPr>
        <w:t>MyTax</w:t>
      </w:r>
      <w:proofErr w:type="spellEnd"/>
      <w:r>
        <w:rPr>
          <w:sz w:val="16"/>
          <w:szCs w:val="16"/>
        </w:rPr>
        <w:t xml:space="preserve"> </w:t>
      </w:r>
      <w:r w:rsidRPr="00D841B9">
        <w:rPr>
          <w:sz w:val="16"/>
          <w:szCs w:val="16"/>
        </w:rPr>
        <w:t>reforms</w:t>
      </w:r>
      <w:r>
        <w:rPr>
          <w:sz w:val="16"/>
          <w:szCs w:val="16"/>
        </w:rPr>
        <w:t>.</w:t>
      </w:r>
    </w:p>
    <w:p w:rsidR="00B12B2A" w:rsidRDefault="00B12B2A" w:rsidP="00AA6F25">
      <w:pPr>
        <w:spacing w:after="240"/>
        <w:rPr>
          <w:rFonts w:ascii="Arial" w:hAnsi="Arial" w:cs="Arial"/>
        </w:rPr>
      </w:pPr>
    </w:p>
    <w:p w:rsidR="002D599C" w:rsidRPr="00057880" w:rsidRDefault="00DC316A" w:rsidP="003E04B2">
      <w:pPr>
        <w:pStyle w:val="Heading1"/>
        <w:numPr>
          <w:ilvl w:val="0"/>
          <w:numId w:val="18"/>
        </w:numPr>
        <w:spacing w:after="240"/>
        <w:rPr>
          <w:rFonts w:ascii="Lucida Fax" w:hAnsi="Lucida Fax"/>
          <w:lang w:val="en-AU"/>
        </w:rPr>
      </w:pPr>
      <w:bookmarkStart w:id="101" w:name="_Toc412196643"/>
      <w:r w:rsidRPr="00057880">
        <w:rPr>
          <w:rFonts w:ascii="Lucida Fax" w:hAnsi="Lucida Fax"/>
          <w:lang w:val="en-AU"/>
        </w:rPr>
        <w:t xml:space="preserve">The </w:t>
      </w:r>
      <w:r w:rsidR="00D362A3" w:rsidRPr="00057880">
        <w:rPr>
          <w:rFonts w:ascii="Lucida Fax" w:hAnsi="Lucida Fax"/>
          <w:lang w:val="en-AU"/>
        </w:rPr>
        <w:t>preferred</w:t>
      </w:r>
      <w:r w:rsidRPr="00057880">
        <w:rPr>
          <w:rFonts w:ascii="Lucida Fax" w:hAnsi="Lucida Fax"/>
          <w:lang w:val="en-AU"/>
        </w:rPr>
        <w:t xml:space="preserve"> option</w:t>
      </w:r>
      <w:bookmarkEnd w:id="101"/>
    </w:p>
    <w:p w:rsidR="00D362A3" w:rsidRPr="00690F06" w:rsidRDefault="00D362A3" w:rsidP="00D362A3">
      <w:pPr>
        <w:spacing w:before="240" w:after="240"/>
        <w:rPr>
          <w:rFonts w:ascii="Arial" w:hAnsi="Arial" w:cs="Arial"/>
          <w:vertAlign w:val="superscript"/>
        </w:rPr>
      </w:pPr>
      <w:r w:rsidRPr="00690F06">
        <w:rPr>
          <w:rFonts w:ascii="Arial" w:hAnsi="Arial" w:cs="Arial"/>
        </w:rPr>
        <w:t xml:space="preserve">There is </w:t>
      </w:r>
      <w:r w:rsidR="000E0073">
        <w:rPr>
          <w:rFonts w:ascii="Arial" w:hAnsi="Arial" w:cs="Arial"/>
        </w:rPr>
        <w:t xml:space="preserve">currently </w:t>
      </w:r>
      <w:r w:rsidRPr="00690F06">
        <w:rPr>
          <w:rFonts w:ascii="Arial" w:hAnsi="Arial" w:cs="Arial"/>
        </w:rPr>
        <w:t xml:space="preserve">no preferred option. The ACCC </w:t>
      </w:r>
      <w:r w:rsidR="00141905" w:rsidRPr="00690F06">
        <w:rPr>
          <w:rFonts w:ascii="Arial" w:hAnsi="Arial" w:cs="Arial"/>
        </w:rPr>
        <w:t>will consider submissions on this draft RIS before it settles on a preferred option</w:t>
      </w:r>
      <w:r w:rsidR="00C01AE6" w:rsidRPr="00690F06">
        <w:rPr>
          <w:rFonts w:ascii="Arial" w:hAnsi="Arial" w:cs="Arial"/>
        </w:rPr>
        <w:t xml:space="preserve"> to recommend to the Minister</w:t>
      </w:r>
      <w:r w:rsidR="00356CE0" w:rsidRPr="00690F06">
        <w:rPr>
          <w:rFonts w:ascii="Arial" w:hAnsi="Arial" w:cs="Arial"/>
        </w:rPr>
        <w:t>, who is the decision maker</w:t>
      </w:r>
      <w:r w:rsidR="00141905" w:rsidRPr="00690F06">
        <w:rPr>
          <w:rFonts w:ascii="Arial" w:hAnsi="Arial" w:cs="Arial"/>
        </w:rPr>
        <w:t>. It is expected t</w:t>
      </w:r>
      <w:r w:rsidR="0087386B" w:rsidRPr="00690F06">
        <w:rPr>
          <w:rFonts w:ascii="Arial" w:hAnsi="Arial" w:cs="Arial"/>
        </w:rPr>
        <w:t>he</w:t>
      </w:r>
      <w:r w:rsidRPr="00690F06">
        <w:rPr>
          <w:rFonts w:ascii="Arial" w:hAnsi="Arial" w:cs="Arial"/>
        </w:rPr>
        <w:t xml:space="preserve"> RIS consultation </w:t>
      </w:r>
      <w:r w:rsidR="00141905" w:rsidRPr="00690F06">
        <w:rPr>
          <w:rFonts w:ascii="Arial" w:hAnsi="Arial" w:cs="Arial"/>
        </w:rPr>
        <w:t xml:space="preserve">phase </w:t>
      </w:r>
      <w:r w:rsidRPr="00690F06">
        <w:rPr>
          <w:rFonts w:ascii="Arial" w:hAnsi="Arial" w:cs="Arial"/>
        </w:rPr>
        <w:t xml:space="preserve">will further inform cost and benefit </w:t>
      </w:r>
      <w:r w:rsidRPr="00690F06">
        <w:rPr>
          <w:rFonts w:ascii="Arial" w:hAnsi="Arial" w:cs="Arial"/>
        </w:rPr>
        <w:lastRenderedPageBreak/>
        <w:t xml:space="preserve">considerations. In accordance with </w:t>
      </w:r>
      <w:r w:rsidR="00F235DE" w:rsidRPr="00690F06">
        <w:rPr>
          <w:rFonts w:ascii="Arial" w:hAnsi="Arial" w:cs="Arial"/>
        </w:rPr>
        <w:t>g</w:t>
      </w:r>
      <w:r w:rsidRPr="00690F06">
        <w:rPr>
          <w:rFonts w:ascii="Arial" w:hAnsi="Arial" w:cs="Arial"/>
        </w:rPr>
        <w:t>overnment policy, the preferred option will have the highest net benefit.</w:t>
      </w:r>
      <w:r w:rsidR="002E0352" w:rsidRPr="00690F06">
        <w:rPr>
          <w:rFonts w:ascii="Arial" w:hAnsi="Arial" w:cs="Arial"/>
          <w:vertAlign w:val="superscript"/>
        </w:rPr>
        <w:t xml:space="preserve"> </w:t>
      </w:r>
      <w:r w:rsidR="002E0352" w:rsidRPr="00690F06">
        <w:rPr>
          <w:rFonts w:ascii="Arial" w:hAnsi="Arial" w:cs="Arial"/>
          <w:vertAlign w:val="superscript"/>
        </w:rPr>
        <w:footnoteReference w:id="56"/>
      </w:r>
    </w:p>
    <w:p w:rsidR="002D599C" w:rsidRPr="00057880" w:rsidRDefault="002D1AFD" w:rsidP="003E04B2">
      <w:pPr>
        <w:pStyle w:val="Heading1"/>
        <w:numPr>
          <w:ilvl w:val="0"/>
          <w:numId w:val="18"/>
        </w:numPr>
        <w:spacing w:after="240"/>
        <w:rPr>
          <w:rFonts w:ascii="Lucida Fax" w:hAnsi="Lucida Fax"/>
          <w:lang w:val="en-AU"/>
        </w:rPr>
      </w:pPr>
      <w:bookmarkStart w:id="102" w:name="_Toc412196644"/>
      <w:r w:rsidRPr="00057880">
        <w:rPr>
          <w:rFonts w:ascii="Lucida Fax" w:hAnsi="Lucida Fax"/>
          <w:lang w:val="en-AU"/>
        </w:rPr>
        <w:t>Im</w:t>
      </w:r>
      <w:r w:rsidR="002D599C" w:rsidRPr="00057880">
        <w:rPr>
          <w:rFonts w:ascii="Lucida Fax" w:hAnsi="Lucida Fax"/>
          <w:lang w:val="en-AU"/>
        </w:rPr>
        <w:t>plement</w:t>
      </w:r>
      <w:r w:rsidRPr="00057880">
        <w:rPr>
          <w:rFonts w:ascii="Lucida Fax" w:hAnsi="Lucida Fax"/>
          <w:lang w:val="en-AU"/>
        </w:rPr>
        <w:t xml:space="preserve">ation and </w:t>
      </w:r>
      <w:r w:rsidR="002D599C" w:rsidRPr="00057880">
        <w:rPr>
          <w:rFonts w:ascii="Lucida Fax" w:hAnsi="Lucida Fax"/>
          <w:lang w:val="en-AU"/>
        </w:rPr>
        <w:t>evaluat</w:t>
      </w:r>
      <w:r w:rsidRPr="00057880">
        <w:rPr>
          <w:rFonts w:ascii="Lucida Fax" w:hAnsi="Lucida Fax"/>
          <w:lang w:val="en-AU"/>
        </w:rPr>
        <w:t>ion</w:t>
      </w:r>
      <w:bookmarkEnd w:id="102"/>
    </w:p>
    <w:p w:rsidR="00DE05A7" w:rsidRDefault="00DE05A7" w:rsidP="00D362A3">
      <w:pPr>
        <w:spacing w:before="240" w:after="240"/>
        <w:rPr>
          <w:rFonts w:ascii="Arial" w:hAnsi="Arial" w:cs="Arial"/>
        </w:rPr>
      </w:pPr>
      <w:r>
        <w:rPr>
          <w:rFonts w:ascii="Arial" w:hAnsi="Arial" w:cs="Arial"/>
        </w:rPr>
        <w:t>Planning for implementation and evaluation of the preferred option will be di</w:t>
      </w:r>
      <w:r w:rsidR="001A2014">
        <w:rPr>
          <w:rFonts w:ascii="Arial" w:hAnsi="Arial" w:cs="Arial"/>
        </w:rPr>
        <w:t>scussed in the final RIS. The ACCC will continue to actively engage with suppliers of direct and prolonged contact articles and collect information that will support the effective reduction of exposure of consumers to hazardous azo dyes.</w:t>
      </w:r>
    </w:p>
    <w:p w:rsidR="00D362A3" w:rsidRPr="00690F06" w:rsidRDefault="00D362A3" w:rsidP="00D362A3">
      <w:pPr>
        <w:spacing w:before="240" w:after="240"/>
        <w:rPr>
          <w:rFonts w:ascii="Arial" w:hAnsi="Arial" w:cs="Arial"/>
        </w:rPr>
      </w:pPr>
      <w:r w:rsidRPr="00690F06">
        <w:rPr>
          <w:rFonts w:ascii="Arial" w:hAnsi="Arial" w:cs="Arial"/>
        </w:rPr>
        <w:t xml:space="preserve">If </w:t>
      </w:r>
      <w:r w:rsidR="0066255A" w:rsidRPr="00690F06">
        <w:rPr>
          <w:rFonts w:ascii="Arial" w:hAnsi="Arial" w:cs="Arial"/>
        </w:rPr>
        <w:t xml:space="preserve">regulation </w:t>
      </w:r>
      <w:r w:rsidRPr="00690F06">
        <w:rPr>
          <w:rFonts w:ascii="Arial" w:hAnsi="Arial" w:cs="Arial"/>
        </w:rPr>
        <w:t xml:space="preserve">is ultimately implemented, suppliers may </w:t>
      </w:r>
      <w:r w:rsidR="00DE05A7">
        <w:rPr>
          <w:rFonts w:ascii="Arial" w:hAnsi="Arial" w:cs="Arial"/>
        </w:rPr>
        <w:t>need</w:t>
      </w:r>
      <w:r w:rsidR="00DE05A7" w:rsidRPr="00690F06">
        <w:rPr>
          <w:rFonts w:ascii="Arial" w:hAnsi="Arial" w:cs="Arial"/>
        </w:rPr>
        <w:t xml:space="preserve"> </w:t>
      </w:r>
      <w:r w:rsidRPr="00690F06">
        <w:rPr>
          <w:rFonts w:ascii="Arial" w:hAnsi="Arial" w:cs="Arial"/>
        </w:rPr>
        <w:t xml:space="preserve">time to ensure compliant stock is available for supply. Suppliers are invited to comment on a suitable timeframe for implementation of </w:t>
      </w:r>
      <w:r w:rsidR="00DE05A7">
        <w:rPr>
          <w:rFonts w:ascii="Arial" w:hAnsi="Arial" w:cs="Arial"/>
        </w:rPr>
        <w:t xml:space="preserve">the option involving </w:t>
      </w:r>
      <w:r w:rsidR="0066255A" w:rsidRPr="00690F06">
        <w:rPr>
          <w:rFonts w:ascii="Arial" w:hAnsi="Arial" w:cs="Arial"/>
        </w:rPr>
        <w:t>regulation</w:t>
      </w:r>
      <w:r w:rsidRPr="00690F06">
        <w:rPr>
          <w:rFonts w:ascii="Arial" w:hAnsi="Arial" w:cs="Arial"/>
        </w:rPr>
        <w:t>.</w:t>
      </w:r>
    </w:p>
    <w:p w:rsidR="002D1AFD" w:rsidRPr="00057880" w:rsidRDefault="002D1AFD" w:rsidP="003E04B2">
      <w:pPr>
        <w:pStyle w:val="Heading1"/>
        <w:numPr>
          <w:ilvl w:val="0"/>
          <w:numId w:val="18"/>
        </w:numPr>
        <w:spacing w:after="240"/>
        <w:rPr>
          <w:rFonts w:ascii="Lucida Fax" w:hAnsi="Lucida Fax"/>
          <w:lang w:val="en-AU"/>
        </w:rPr>
      </w:pPr>
      <w:bookmarkStart w:id="103" w:name="_Toc412196645"/>
      <w:r w:rsidRPr="00057880">
        <w:rPr>
          <w:rFonts w:ascii="Lucida Fax" w:hAnsi="Lucida Fax"/>
          <w:lang w:val="en-AU"/>
        </w:rPr>
        <w:t>Form of p</w:t>
      </w:r>
      <w:r w:rsidR="002C39E8" w:rsidRPr="00057880">
        <w:rPr>
          <w:rFonts w:ascii="Lucida Fax" w:hAnsi="Lucida Fax"/>
          <w:lang w:val="en-AU"/>
        </w:rPr>
        <w:t>ossible</w:t>
      </w:r>
      <w:r w:rsidRPr="00057880">
        <w:rPr>
          <w:rFonts w:ascii="Lucida Fax" w:hAnsi="Lucida Fax"/>
          <w:lang w:val="en-AU"/>
        </w:rPr>
        <w:t xml:space="preserve"> regulation</w:t>
      </w:r>
      <w:bookmarkEnd w:id="103"/>
    </w:p>
    <w:p w:rsidR="00D362A3" w:rsidRPr="00690F06" w:rsidRDefault="00D362A3" w:rsidP="00D362A3">
      <w:pPr>
        <w:spacing w:before="240" w:after="240"/>
        <w:rPr>
          <w:rFonts w:ascii="Arial" w:hAnsi="Arial" w:cs="Arial"/>
        </w:rPr>
      </w:pPr>
      <w:r w:rsidRPr="00690F06">
        <w:rPr>
          <w:rFonts w:ascii="Arial" w:hAnsi="Arial" w:cs="Arial"/>
        </w:rPr>
        <w:t xml:space="preserve">The wording for any possible future regulation has not yet been finalised, however it is likely to be similar to the key elements of the EU requirements set out in Regulation (EC) </w:t>
      </w:r>
      <w:r w:rsidR="001A2014" w:rsidRPr="00690F06">
        <w:rPr>
          <w:rFonts w:ascii="Arial" w:hAnsi="Arial" w:cs="Arial"/>
        </w:rPr>
        <w:t>No</w:t>
      </w:r>
      <w:r w:rsidR="001A2014">
        <w:rPr>
          <w:rFonts w:ascii="Arial" w:hAnsi="Arial" w:cs="Arial"/>
        </w:rPr>
        <w:t> </w:t>
      </w:r>
      <w:r w:rsidRPr="00690F06">
        <w:rPr>
          <w:rFonts w:ascii="Arial" w:hAnsi="Arial" w:cs="Arial"/>
        </w:rPr>
        <w:t>1907/2006</w:t>
      </w:r>
      <w:r w:rsidR="00BB12AF" w:rsidRPr="00690F06">
        <w:rPr>
          <w:rFonts w:ascii="Arial" w:hAnsi="Arial" w:cs="Arial"/>
        </w:rPr>
        <w:t>.</w:t>
      </w:r>
      <w:r w:rsidRPr="00690F06">
        <w:rPr>
          <w:rFonts w:ascii="Arial" w:hAnsi="Arial" w:cs="Arial"/>
          <w:vertAlign w:val="superscript"/>
        </w:rPr>
        <w:footnoteReference w:id="57"/>
      </w:r>
      <w:r w:rsidRPr="00690F06">
        <w:rPr>
          <w:rFonts w:ascii="Arial" w:hAnsi="Arial" w:cs="Arial"/>
        </w:rPr>
        <w:t xml:space="preserve"> </w:t>
      </w:r>
    </w:p>
    <w:p w:rsidR="00D362A3" w:rsidRPr="00690F06" w:rsidRDefault="00D362A3" w:rsidP="00D362A3">
      <w:pPr>
        <w:spacing w:after="240"/>
        <w:rPr>
          <w:rFonts w:ascii="Arial" w:hAnsi="Arial" w:cs="Arial"/>
        </w:rPr>
      </w:pPr>
      <w:r w:rsidRPr="00690F06">
        <w:rPr>
          <w:rFonts w:ascii="Arial" w:hAnsi="Arial" w:cs="Arial"/>
        </w:rPr>
        <w:t xml:space="preserve">Under the EU Regulation, azo dyes which, by reductive cleavage of one or more azo groups, may release one or more </w:t>
      </w:r>
      <w:r w:rsidR="001A2014" w:rsidRPr="00690F06">
        <w:rPr>
          <w:rFonts w:ascii="Arial" w:hAnsi="Arial" w:cs="Arial"/>
        </w:rPr>
        <w:t>of</w:t>
      </w:r>
      <w:r w:rsidR="001A2014">
        <w:rPr>
          <w:rFonts w:ascii="Arial" w:hAnsi="Arial" w:cs="Arial"/>
        </w:rPr>
        <w:t> </w:t>
      </w:r>
      <w:r w:rsidRPr="00690F06">
        <w:rPr>
          <w:rFonts w:ascii="Arial" w:hAnsi="Arial" w:cs="Arial"/>
        </w:rPr>
        <w:t xml:space="preserve">22 aromatic amines in detectable concentrations, i.e. above </w:t>
      </w:r>
      <w:r w:rsidR="001A2014" w:rsidRPr="00690F06">
        <w:rPr>
          <w:rFonts w:ascii="Arial" w:hAnsi="Arial" w:cs="Arial"/>
        </w:rPr>
        <w:t>30</w:t>
      </w:r>
      <w:r w:rsidR="001A2014">
        <w:rPr>
          <w:rFonts w:ascii="Arial" w:hAnsi="Arial" w:cs="Arial"/>
        </w:rPr>
        <w:t> </w:t>
      </w:r>
      <w:r w:rsidRPr="00690F06">
        <w:rPr>
          <w:rFonts w:ascii="Arial" w:hAnsi="Arial" w:cs="Arial"/>
        </w:rPr>
        <w:t>mg/kg, in the finished articles or in the dyed parts thereof, must not be used in textile and leather articles which may come into direct and prolonged contact with the human skin or oral cavity.</w:t>
      </w:r>
    </w:p>
    <w:p w:rsidR="00D362A3" w:rsidRPr="00690F06" w:rsidRDefault="001A2014" w:rsidP="00D362A3">
      <w:pPr>
        <w:spacing w:after="240"/>
        <w:rPr>
          <w:rFonts w:ascii="Arial" w:hAnsi="Arial" w:cs="Arial"/>
        </w:rPr>
      </w:pPr>
      <w:r w:rsidRPr="00B7209D">
        <w:rPr>
          <w:rFonts w:ascii="Arial" w:hAnsi="Arial" w:cs="Arial"/>
        </w:rPr>
        <w:t>Attachment </w:t>
      </w:r>
      <w:r w:rsidR="00256F05" w:rsidRPr="00B7209D">
        <w:rPr>
          <w:rFonts w:ascii="Arial" w:hAnsi="Arial" w:cs="Arial"/>
        </w:rPr>
        <w:t>9</w:t>
      </w:r>
      <w:r w:rsidR="005C0360" w:rsidRPr="00690F06">
        <w:rPr>
          <w:rFonts w:ascii="Arial" w:hAnsi="Arial" w:cs="Arial"/>
        </w:rPr>
        <w:t xml:space="preserve"> </w:t>
      </w:r>
      <w:r w:rsidR="00D362A3" w:rsidRPr="00690F06">
        <w:rPr>
          <w:rFonts w:ascii="Arial" w:hAnsi="Arial" w:cs="Arial"/>
        </w:rPr>
        <w:t xml:space="preserve">of this paper includes a list of </w:t>
      </w:r>
      <w:r w:rsidRPr="00690F06">
        <w:rPr>
          <w:rFonts w:ascii="Arial" w:hAnsi="Arial" w:cs="Arial"/>
        </w:rPr>
        <w:t>the</w:t>
      </w:r>
      <w:r>
        <w:rPr>
          <w:rFonts w:ascii="Arial" w:hAnsi="Arial" w:cs="Arial"/>
        </w:rPr>
        <w:t> </w:t>
      </w:r>
      <w:r w:rsidR="00D362A3" w:rsidRPr="00690F06">
        <w:rPr>
          <w:rFonts w:ascii="Arial" w:hAnsi="Arial" w:cs="Arial"/>
        </w:rPr>
        <w:t>22 aromatic amines</w:t>
      </w:r>
      <w:r w:rsidR="00141905" w:rsidRPr="00690F06">
        <w:rPr>
          <w:rFonts w:ascii="Arial" w:hAnsi="Arial" w:cs="Arial"/>
        </w:rPr>
        <w:t xml:space="preserve"> likely to be included in any regulation</w:t>
      </w:r>
      <w:r w:rsidR="00D362A3" w:rsidRPr="00690F06">
        <w:rPr>
          <w:rFonts w:ascii="Arial" w:hAnsi="Arial" w:cs="Arial"/>
        </w:rPr>
        <w:t xml:space="preserve"> and provides</w:t>
      </w:r>
      <w:r w:rsidR="00141905" w:rsidRPr="00690F06">
        <w:rPr>
          <w:rFonts w:ascii="Arial" w:hAnsi="Arial" w:cs="Arial"/>
        </w:rPr>
        <w:t xml:space="preserve"> for a total</w:t>
      </w:r>
      <w:r w:rsidR="00D362A3" w:rsidRPr="00690F06">
        <w:rPr>
          <w:rFonts w:ascii="Arial" w:hAnsi="Arial" w:cs="Arial"/>
        </w:rPr>
        <w:t xml:space="preserve"> limit of </w:t>
      </w:r>
      <w:r w:rsidRPr="00690F06">
        <w:rPr>
          <w:rFonts w:ascii="Arial" w:hAnsi="Arial" w:cs="Arial"/>
        </w:rPr>
        <w:t>30</w:t>
      </w:r>
      <w:r>
        <w:rPr>
          <w:rFonts w:ascii="Arial" w:hAnsi="Arial" w:cs="Arial"/>
        </w:rPr>
        <w:t> </w:t>
      </w:r>
      <w:r w:rsidR="00D362A3" w:rsidRPr="00690F06">
        <w:rPr>
          <w:rFonts w:ascii="Arial" w:hAnsi="Arial" w:cs="Arial"/>
        </w:rPr>
        <w:t xml:space="preserve">mg/kg. It is proposed that the </w:t>
      </w:r>
      <w:r w:rsidRPr="00690F06">
        <w:rPr>
          <w:rFonts w:ascii="Arial" w:hAnsi="Arial" w:cs="Arial"/>
        </w:rPr>
        <w:t>30</w:t>
      </w:r>
      <w:r>
        <w:rPr>
          <w:rFonts w:ascii="Arial" w:hAnsi="Arial" w:cs="Arial"/>
        </w:rPr>
        <w:t> </w:t>
      </w:r>
      <w:r w:rsidR="00D362A3" w:rsidRPr="00690F06">
        <w:rPr>
          <w:rFonts w:ascii="Arial" w:hAnsi="Arial" w:cs="Arial"/>
        </w:rPr>
        <w:t>mg/kg total limit apply to the finished article or in the finished articles dyed parts.</w:t>
      </w:r>
    </w:p>
    <w:p w:rsidR="00AC56F7" w:rsidRPr="00057880" w:rsidRDefault="00DC316A" w:rsidP="003E04B2">
      <w:pPr>
        <w:pStyle w:val="Heading1"/>
        <w:numPr>
          <w:ilvl w:val="0"/>
          <w:numId w:val="18"/>
        </w:numPr>
        <w:spacing w:after="240"/>
        <w:rPr>
          <w:rFonts w:ascii="Lucida Fax" w:hAnsi="Lucida Fax"/>
          <w:lang w:val="en-AU"/>
        </w:rPr>
      </w:pPr>
      <w:bookmarkStart w:id="104" w:name="_Toc412196646"/>
      <w:r w:rsidRPr="00057880">
        <w:rPr>
          <w:rFonts w:ascii="Lucida Fax" w:hAnsi="Lucida Fax"/>
          <w:lang w:val="en-AU"/>
        </w:rPr>
        <w:t>Submissions</w:t>
      </w:r>
      <w:bookmarkEnd w:id="104"/>
    </w:p>
    <w:p w:rsidR="00FF7529" w:rsidRPr="00690F06" w:rsidRDefault="00FF7529" w:rsidP="00AC56F7">
      <w:pPr>
        <w:spacing w:after="240"/>
        <w:rPr>
          <w:rFonts w:ascii="Arial" w:hAnsi="Arial" w:cs="Arial"/>
        </w:rPr>
      </w:pPr>
      <w:r w:rsidRPr="00690F06">
        <w:rPr>
          <w:rFonts w:ascii="Arial" w:hAnsi="Arial" w:cs="Arial"/>
        </w:rPr>
        <w:t xml:space="preserve">All stakeholders – </w:t>
      </w:r>
      <w:r w:rsidR="00E07E4D" w:rsidRPr="00690F06">
        <w:rPr>
          <w:rFonts w:ascii="Arial" w:hAnsi="Arial" w:cs="Arial"/>
        </w:rPr>
        <w:t xml:space="preserve">including </w:t>
      </w:r>
      <w:r w:rsidRPr="00690F06">
        <w:rPr>
          <w:rFonts w:ascii="Arial" w:hAnsi="Arial" w:cs="Arial"/>
        </w:rPr>
        <w:t>consumer</w:t>
      </w:r>
      <w:r w:rsidR="00E07E4D" w:rsidRPr="00690F06">
        <w:rPr>
          <w:rFonts w:ascii="Arial" w:hAnsi="Arial" w:cs="Arial"/>
        </w:rPr>
        <w:t>s</w:t>
      </w:r>
      <w:r w:rsidRPr="00690F06">
        <w:rPr>
          <w:rFonts w:ascii="Arial" w:hAnsi="Arial" w:cs="Arial"/>
        </w:rPr>
        <w:t>, medical professionals, advocates, industry associations, importers, wholesalers, manufacture</w:t>
      </w:r>
      <w:r w:rsidR="0022374A">
        <w:rPr>
          <w:rFonts w:ascii="Arial" w:hAnsi="Arial" w:cs="Arial"/>
        </w:rPr>
        <w:t>r</w:t>
      </w:r>
      <w:r w:rsidRPr="00690F06">
        <w:rPr>
          <w:rFonts w:ascii="Arial" w:hAnsi="Arial" w:cs="Arial"/>
        </w:rPr>
        <w:t>s and suppliers are invited to make submissions on any issue canvassed in this draft RIS.</w:t>
      </w:r>
    </w:p>
    <w:p w:rsidR="002A2B67" w:rsidRPr="00690F06" w:rsidRDefault="00AC56F7" w:rsidP="00AC56F7">
      <w:pPr>
        <w:spacing w:after="240"/>
        <w:rPr>
          <w:rFonts w:ascii="Arial" w:hAnsi="Arial" w:cs="Arial"/>
        </w:rPr>
      </w:pPr>
      <w:r w:rsidRPr="00690F06">
        <w:rPr>
          <w:rFonts w:ascii="Arial" w:hAnsi="Arial" w:cs="Arial"/>
        </w:rPr>
        <w:t>Where</w:t>
      </w:r>
      <w:r w:rsidR="00141905" w:rsidRPr="00690F06">
        <w:rPr>
          <w:rFonts w:ascii="Arial" w:hAnsi="Arial" w:cs="Arial"/>
        </w:rPr>
        <w:t xml:space="preserve"> stakeholders prefer</w:t>
      </w:r>
      <w:r w:rsidRPr="00690F06">
        <w:rPr>
          <w:rFonts w:ascii="Arial" w:hAnsi="Arial" w:cs="Arial"/>
        </w:rPr>
        <w:t xml:space="preserve"> one option over others, </w:t>
      </w:r>
      <w:r w:rsidR="00141905" w:rsidRPr="00690F06">
        <w:rPr>
          <w:rFonts w:ascii="Arial" w:hAnsi="Arial" w:cs="Arial"/>
        </w:rPr>
        <w:t xml:space="preserve">they are </w:t>
      </w:r>
      <w:r w:rsidRPr="00690F06">
        <w:rPr>
          <w:rFonts w:ascii="Arial" w:hAnsi="Arial" w:cs="Arial"/>
        </w:rPr>
        <w:t>requested to explain why</w:t>
      </w:r>
      <w:r w:rsidR="00E60B43" w:rsidRPr="00690F06">
        <w:rPr>
          <w:rFonts w:ascii="Arial" w:hAnsi="Arial" w:cs="Arial"/>
        </w:rPr>
        <w:t>,</w:t>
      </w:r>
      <w:r w:rsidRPr="00690F06">
        <w:rPr>
          <w:rFonts w:ascii="Arial" w:hAnsi="Arial" w:cs="Arial"/>
        </w:rPr>
        <w:t xml:space="preserve"> and where relevant provide supporting evidence or documentation. </w:t>
      </w:r>
    </w:p>
    <w:p w:rsidR="00274388" w:rsidRDefault="00FF7529" w:rsidP="00274388">
      <w:pPr>
        <w:rPr>
          <w:rFonts w:ascii="Arial" w:hAnsi="Arial" w:cs="Arial"/>
        </w:rPr>
      </w:pPr>
      <w:r w:rsidRPr="00690F06">
        <w:rPr>
          <w:rFonts w:ascii="Arial" w:hAnsi="Arial" w:cs="Arial"/>
        </w:rPr>
        <w:t>Industry s</w:t>
      </w:r>
      <w:r w:rsidR="00917815" w:rsidRPr="00690F06">
        <w:rPr>
          <w:rFonts w:ascii="Arial" w:hAnsi="Arial" w:cs="Arial"/>
        </w:rPr>
        <w:t>takeholders are also requested to provide</w:t>
      </w:r>
      <w:r w:rsidR="00B70853" w:rsidRPr="00690F06">
        <w:rPr>
          <w:rFonts w:ascii="Arial" w:hAnsi="Arial" w:cs="Arial"/>
        </w:rPr>
        <w:t xml:space="preserve"> further specific</w:t>
      </w:r>
      <w:r w:rsidR="00917815" w:rsidRPr="00690F06">
        <w:rPr>
          <w:rFonts w:ascii="Arial" w:hAnsi="Arial" w:cs="Arial"/>
        </w:rPr>
        <w:t xml:space="preserve"> information</w:t>
      </w:r>
      <w:r w:rsidR="00B70853" w:rsidRPr="00690F06">
        <w:rPr>
          <w:rFonts w:ascii="Arial" w:hAnsi="Arial" w:cs="Arial"/>
        </w:rPr>
        <w:t xml:space="preserve"> on </w:t>
      </w:r>
      <w:r w:rsidR="00B70853" w:rsidRPr="00690F06">
        <w:rPr>
          <w:rFonts w:ascii="Arial" w:hAnsi="Arial" w:cs="Arial"/>
          <w:i/>
        </w:rPr>
        <w:t>additional costs</w:t>
      </w:r>
      <w:r w:rsidR="00274388" w:rsidRPr="00690F06">
        <w:rPr>
          <w:rFonts w:ascii="Arial" w:hAnsi="Arial" w:cs="Arial"/>
          <w:i/>
        </w:rPr>
        <w:t xml:space="preserve">. </w:t>
      </w:r>
      <w:r w:rsidR="00274388" w:rsidRPr="00690F06">
        <w:rPr>
          <w:rFonts w:ascii="Arial" w:hAnsi="Arial" w:cs="Arial"/>
        </w:rPr>
        <w:t xml:space="preserve">Additional costs are those new costs to meet either the </w:t>
      </w:r>
      <w:r w:rsidR="0066255A" w:rsidRPr="0066255A">
        <w:rPr>
          <w:rFonts w:ascii="Arial" w:hAnsi="Arial" w:cs="Arial"/>
          <w:i/>
          <w:u w:val="single"/>
        </w:rPr>
        <w:t xml:space="preserve">non-regulatory </w:t>
      </w:r>
      <w:r w:rsidR="00DF0893">
        <w:rPr>
          <w:rFonts w:ascii="Arial" w:hAnsi="Arial" w:cs="Arial"/>
          <w:i/>
          <w:u w:val="single"/>
        </w:rPr>
        <w:t>option</w:t>
      </w:r>
      <w:r w:rsidR="0066255A" w:rsidRPr="0066255A">
        <w:rPr>
          <w:rFonts w:ascii="Arial" w:hAnsi="Arial" w:cs="Arial"/>
          <w:i/>
          <w:u w:val="single"/>
        </w:rPr>
        <w:t xml:space="preserve"> </w:t>
      </w:r>
      <w:r w:rsidR="00274388" w:rsidRPr="00690F06">
        <w:rPr>
          <w:rFonts w:ascii="Arial" w:hAnsi="Arial" w:cs="Arial"/>
        </w:rPr>
        <w:t>(</w:t>
      </w:r>
      <w:r w:rsidR="00BB7FA9" w:rsidRPr="00690F06">
        <w:rPr>
          <w:rFonts w:ascii="Arial" w:hAnsi="Arial" w:cs="Arial"/>
        </w:rPr>
        <w:t>Option</w:t>
      </w:r>
      <w:r w:rsidR="00BB7FA9">
        <w:rPr>
          <w:rFonts w:ascii="Arial" w:hAnsi="Arial" w:cs="Arial"/>
        </w:rPr>
        <w:t> </w:t>
      </w:r>
      <w:r w:rsidR="00274388" w:rsidRPr="00690F06">
        <w:rPr>
          <w:rFonts w:ascii="Arial" w:hAnsi="Arial" w:cs="Arial"/>
        </w:rPr>
        <w:t>4.</w:t>
      </w:r>
      <w:r w:rsidR="0066255A">
        <w:rPr>
          <w:rFonts w:ascii="Arial" w:hAnsi="Arial" w:cs="Arial"/>
        </w:rPr>
        <w:t>2</w:t>
      </w:r>
      <w:r w:rsidR="00274388" w:rsidRPr="00690F06">
        <w:rPr>
          <w:rFonts w:ascii="Arial" w:hAnsi="Arial" w:cs="Arial"/>
        </w:rPr>
        <w:t xml:space="preserve">) or the </w:t>
      </w:r>
      <w:r w:rsidR="00274388" w:rsidRPr="00690F06">
        <w:rPr>
          <w:rFonts w:ascii="Arial" w:hAnsi="Arial" w:cs="Arial"/>
          <w:i/>
          <w:u w:val="single"/>
        </w:rPr>
        <w:t>regulatory option</w:t>
      </w:r>
      <w:r w:rsidR="00274388" w:rsidRPr="00690F06">
        <w:rPr>
          <w:rFonts w:ascii="Arial" w:hAnsi="Arial" w:cs="Arial"/>
        </w:rPr>
        <w:t xml:space="preserve"> (</w:t>
      </w:r>
      <w:r w:rsidR="00BB7FA9" w:rsidRPr="00690F06">
        <w:rPr>
          <w:rFonts w:ascii="Arial" w:hAnsi="Arial" w:cs="Arial"/>
        </w:rPr>
        <w:t>Option</w:t>
      </w:r>
      <w:r w:rsidR="00BB7FA9">
        <w:rPr>
          <w:rFonts w:ascii="Arial" w:hAnsi="Arial" w:cs="Arial"/>
        </w:rPr>
        <w:t> </w:t>
      </w:r>
      <w:r w:rsidR="00274388" w:rsidRPr="00690F06">
        <w:rPr>
          <w:rFonts w:ascii="Arial" w:hAnsi="Arial" w:cs="Arial"/>
        </w:rPr>
        <w:t>4.</w:t>
      </w:r>
      <w:r w:rsidR="0066255A">
        <w:rPr>
          <w:rFonts w:ascii="Arial" w:hAnsi="Arial" w:cs="Arial"/>
        </w:rPr>
        <w:t>3</w:t>
      </w:r>
      <w:r w:rsidR="00274388" w:rsidRPr="00690F06">
        <w:rPr>
          <w:rFonts w:ascii="Arial" w:hAnsi="Arial" w:cs="Arial"/>
        </w:rPr>
        <w:t xml:space="preserve">). </w:t>
      </w:r>
      <w:r w:rsidR="00274388" w:rsidRPr="00690F06">
        <w:rPr>
          <w:rFonts w:ascii="Arial" w:hAnsi="Arial" w:cs="Arial"/>
          <w:i/>
        </w:rPr>
        <w:t>Additional costs</w:t>
      </w:r>
      <w:r w:rsidR="00274388" w:rsidRPr="00690F06">
        <w:rPr>
          <w:rFonts w:ascii="Arial" w:hAnsi="Arial" w:cs="Arial"/>
        </w:rPr>
        <w:t xml:space="preserve"> do not include:</w:t>
      </w:r>
    </w:p>
    <w:p w:rsidR="00C01C04" w:rsidRPr="00690F06" w:rsidRDefault="00C01C04" w:rsidP="00274388">
      <w:pPr>
        <w:rPr>
          <w:rFonts w:ascii="Arial" w:hAnsi="Arial" w:cs="Arial"/>
        </w:rPr>
      </w:pPr>
    </w:p>
    <w:p w:rsidR="00274388" w:rsidRPr="00690F06" w:rsidRDefault="00274388" w:rsidP="00653AF2">
      <w:pPr>
        <w:numPr>
          <w:ilvl w:val="0"/>
          <w:numId w:val="46"/>
        </w:numPr>
        <w:spacing w:after="240"/>
        <w:ind w:left="567" w:hanging="567"/>
        <w:rPr>
          <w:rFonts w:ascii="Arial" w:hAnsi="Arial" w:cs="Arial"/>
        </w:rPr>
      </w:pPr>
      <w:r w:rsidRPr="00690F06">
        <w:rPr>
          <w:rFonts w:ascii="Arial" w:hAnsi="Arial" w:cs="Arial"/>
        </w:rPr>
        <w:t xml:space="preserve">any cost now being </w:t>
      </w:r>
      <w:r w:rsidR="00623744">
        <w:rPr>
          <w:rFonts w:ascii="Arial" w:hAnsi="Arial" w:cs="Arial"/>
        </w:rPr>
        <w:t>incurred</w:t>
      </w:r>
      <w:r w:rsidR="00623744" w:rsidRPr="00690F06">
        <w:rPr>
          <w:rFonts w:ascii="Arial" w:hAnsi="Arial" w:cs="Arial"/>
        </w:rPr>
        <w:t xml:space="preserve"> </w:t>
      </w:r>
      <w:r w:rsidRPr="00690F06">
        <w:rPr>
          <w:rFonts w:ascii="Arial" w:hAnsi="Arial" w:cs="Arial"/>
        </w:rPr>
        <w:t>from improved practices to meet current expecta</w:t>
      </w:r>
      <w:r w:rsidR="0066255A">
        <w:rPr>
          <w:rFonts w:ascii="Arial" w:hAnsi="Arial" w:cs="Arial"/>
        </w:rPr>
        <w:t>tions following the ACCC survey</w:t>
      </w:r>
    </w:p>
    <w:p w:rsidR="001A3688" w:rsidRPr="00690F06" w:rsidRDefault="00274388" w:rsidP="00653AF2">
      <w:pPr>
        <w:numPr>
          <w:ilvl w:val="0"/>
          <w:numId w:val="46"/>
        </w:numPr>
        <w:spacing w:after="240"/>
        <w:ind w:left="567" w:hanging="567"/>
        <w:rPr>
          <w:rFonts w:ascii="Arial" w:hAnsi="Arial" w:cs="Arial"/>
        </w:rPr>
      </w:pPr>
      <w:proofErr w:type="gramStart"/>
      <w:r w:rsidRPr="00690F06">
        <w:rPr>
          <w:rFonts w:ascii="Arial" w:hAnsi="Arial" w:cs="Arial"/>
        </w:rPr>
        <w:t>the</w:t>
      </w:r>
      <w:proofErr w:type="gramEnd"/>
      <w:r w:rsidRPr="00690F06">
        <w:rPr>
          <w:rFonts w:ascii="Arial" w:hAnsi="Arial" w:cs="Arial"/>
        </w:rPr>
        <w:t xml:space="preserve"> baseline costs consistent with the appropriate stewardship expected from general provisions of the ACL.</w:t>
      </w:r>
    </w:p>
    <w:p w:rsidR="00C01C04" w:rsidRPr="00690F06" w:rsidRDefault="00C01C04" w:rsidP="00274388">
      <w:pPr>
        <w:rPr>
          <w:rFonts w:ascii="Arial" w:hAnsi="Arial" w:cs="Arial"/>
        </w:rPr>
      </w:pPr>
    </w:p>
    <w:p w:rsidR="00275208" w:rsidRPr="00690F06" w:rsidRDefault="00275208" w:rsidP="00275208">
      <w:pPr>
        <w:numPr>
          <w:ilvl w:val="0"/>
          <w:numId w:val="29"/>
        </w:numPr>
        <w:spacing w:after="240"/>
        <w:rPr>
          <w:rFonts w:ascii="Arial" w:hAnsi="Arial" w:cs="Arial"/>
          <w:b/>
        </w:rPr>
      </w:pPr>
      <w:r w:rsidRPr="00690F06">
        <w:rPr>
          <w:rFonts w:ascii="Arial" w:hAnsi="Arial" w:cs="Arial"/>
          <w:b/>
        </w:rPr>
        <w:t xml:space="preserve">What </w:t>
      </w:r>
      <w:r w:rsidR="00DF0893">
        <w:rPr>
          <w:rFonts w:ascii="Arial" w:hAnsi="Arial" w:cs="Arial"/>
          <w:b/>
        </w:rPr>
        <w:t>additional costs, if any, will you incur</w:t>
      </w:r>
      <w:r w:rsidRPr="00690F06">
        <w:rPr>
          <w:rFonts w:ascii="Arial" w:hAnsi="Arial" w:cs="Arial"/>
          <w:b/>
        </w:rPr>
        <w:t xml:space="preserve"> if the </w:t>
      </w:r>
      <w:r w:rsidR="00C01C04" w:rsidRPr="009278D5">
        <w:rPr>
          <w:rFonts w:ascii="Arial" w:hAnsi="Arial" w:cs="Arial"/>
          <w:b/>
          <w:i/>
          <w:u w:val="single"/>
        </w:rPr>
        <w:t xml:space="preserve">non-regulatory </w:t>
      </w:r>
      <w:r w:rsidR="00DF0893">
        <w:rPr>
          <w:rFonts w:ascii="Arial" w:hAnsi="Arial" w:cs="Arial"/>
          <w:b/>
          <w:i/>
          <w:u w:val="single"/>
        </w:rPr>
        <w:t xml:space="preserve">option, </w:t>
      </w:r>
      <w:r w:rsidR="00DF0893" w:rsidRPr="00DF0893">
        <w:rPr>
          <w:rFonts w:ascii="Arial" w:hAnsi="Arial" w:cs="Arial"/>
          <w:b/>
        </w:rPr>
        <w:t>which includes the status quo combined with education and ACCC surveys</w:t>
      </w:r>
      <w:r w:rsidRPr="00690F06">
        <w:rPr>
          <w:rFonts w:ascii="Arial" w:hAnsi="Arial" w:cs="Arial"/>
          <w:b/>
        </w:rPr>
        <w:t xml:space="preserve"> </w:t>
      </w:r>
      <w:r w:rsidR="00C01AE6" w:rsidRPr="00690F06">
        <w:rPr>
          <w:rFonts w:ascii="Arial" w:hAnsi="Arial" w:cs="Arial"/>
          <w:b/>
        </w:rPr>
        <w:t>(</w:t>
      </w:r>
      <w:r w:rsidR="00BC69F3" w:rsidRPr="00690F06">
        <w:rPr>
          <w:rFonts w:ascii="Arial" w:hAnsi="Arial" w:cs="Arial"/>
          <w:b/>
        </w:rPr>
        <w:t>Option</w:t>
      </w:r>
      <w:r w:rsidR="00BC69F3">
        <w:rPr>
          <w:rFonts w:ascii="Arial" w:hAnsi="Arial" w:cs="Arial"/>
          <w:b/>
        </w:rPr>
        <w:t> </w:t>
      </w:r>
      <w:proofErr w:type="gramStart"/>
      <w:r w:rsidR="00C01AE6" w:rsidRPr="00690F06">
        <w:rPr>
          <w:rFonts w:ascii="Arial" w:hAnsi="Arial" w:cs="Arial"/>
          <w:b/>
        </w:rPr>
        <w:t>4.</w:t>
      </w:r>
      <w:r w:rsidR="00C01C04">
        <w:rPr>
          <w:rFonts w:ascii="Arial" w:hAnsi="Arial" w:cs="Arial"/>
          <w:b/>
        </w:rPr>
        <w:t>2</w:t>
      </w:r>
      <w:r w:rsidR="00C01AE6" w:rsidRPr="00690F06">
        <w:rPr>
          <w:rFonts w:ascii="Arial" w:hAnsi="Arial" w:cs="Arial"/>
          <w:b/>
        </w:rPr>
        <w:t>)</w:t>
      </w:r>
      <w:proofErr w:type="gramEnd"/>
      <w:r w:rsidR="00C01AE6" w:rsidRPr="00690F06">
        <w:rPr>
          <w:rFonts w:ascii="Arial" w:hAnsi="Arial" w:cs="Arial"/>
          <w:b/>
        </w:rPr>
        <w:t xml:space="preserve"> </w:t>
      </w:r>
      <w:r w:rsidRPr="00690F06">
        <w:rPr>
          <w:rFonts w:ascii="Arial" w:hAnsi="Arial" w:cs="Arial"/>
          <w:b/>
        </w:rPr>
        <w:t>is adopted?</w:t>
      </w:r>
    </w:p>
    <w:p w:rsidR="00917815" w:rsidRDefault="00917815" w:rsidP="00945E18">
      <w:pPr>
        <w:numPr>
          <w:ilvl w:val="0"/>
          <w:numId w:val="29"/>
        </w:numPr>
        <w:spacing w:after="240"/>
        <w:rPr>
          <w:rFonts w:ascii="Arial" w:hAnsi="Arial" w:cs="Arial"/>
          <w:b/>
        </w:rPr>
      </w:pPr>
      <w:r w:rsidRPr="00690F06">
        <w:rPr>
          <w:rFonts w:ascii="Arial" w:hAnsi="Arial" w:cs="Arial"/>
          <w:b/>
        </w:rPr>
        <w:t xml:space="preserve">What </w:t>
      </w:r>
      <w:r w:rsidR="00945E18" w:rsidRPr="00690F06">
        <w:rPr>
          <w:rFonts w:ascii="Arial" w:hAnsi="Arial" w:cs="Arial"/>
          <w:b/>
        </w:rPr>
        <w:t>are the additional costs you will incur i</w:t>
      </w:r>
      <w:r w:rsidRPr="00690F06">
        <w:rPr>
          <w:rFonts w:ascii="Arial" w:hAnsi="Arial" w:cs="Arial"/>
          <w:b/>
        </w:rPr>
        <w:t xml:space="preserve">f the </w:t>
      </w:r>
      <w:r w:rsidRPr="00690F06">
        <w:rPr>
          <w:rFonts w:ascii="Arial" w:hAnsi="Arial" w:cs="Arial"/>
          <w:b/>
          <w:i/>
          <w:u w:val="single"/>
        </w:rPr>
        <w:t>regulatory option</w:t>
      </w:r>
      <w:r w:rsidRPr="00690F06">
        <w:rPr>
          <w:rFonts w:ascii="Arial" w:hAnsi="Arial" w:cs="Arial"/>
          <w:b/>
        </w:rPr>
        <w:t xml:space="preserve"> </w:t>
      </w:r>
      <w:r w:rsidR="00C01AE6" w:rsidRPr="00690F06">
        <w:rPr>
          <w:rFonts w:ascii="Arial" w:hAnsi="Arial" w:cs="Arial"/>
          <w:b/>
        </w:rPr>
        <w:t>(</w:t>
      </w:r>
      <w:r w:rsidR="00BC69F3" w:rsidRPr="00690F06">
        <w:rPr>
          <w:rFonts w:ascii="Arial" w:hAnsi="Arial" w:cs="Arial"/>
          <w:b/>
        </w:rPr>
        <w:t>Option</w:t>
      </w:r>
      <w:r w:rsidR="00BC69F3">
        <w:rPr>
          <w:rFonts w:ascii="Arial" w:hAnsi="Arial" w:cs="Arial"/>
          <w:b/>
        </w:rPr>
        <w:t> </w:t>
      </w:r>
      <w:r w:rsidR="00C01AE6" w:rsidRPr="00690F06">
        <w:rPr>
          <w:rFonts w:ascii="Arial" w:hAnsi="Arial" w:cs="Arial"/>
          <w:b/>
        </w:rPr>
        <w:t>4.</w:t>
      </w:r>
      <w:r w:rsidR="00C01C04">
        <w:rPr>
          <w:rFonts w:ascii="Arial" w:hAnsi="Arial" w:cs="Arial"/>
          <w:b/>
        </w:rPr>
        <w:t>3</w:t>
      </w:r>
      <w:r w:rsidR="00C01AE6" w:rsidRPr="00690F06">
        <w:rPr>
          <w:rFonts w:ascii="Arial" w:hAnsi="Arial" w:cs="Arial"/>
          <w:b/>
        </w:rPr>
        <w:t xml:space="preserve">) </w:t>
      </w:r>
      <w:r w:rsidRPr="00690F06">
        <w:rPr>
          <w:rFonts w:ascii="Arial" w:hAnsi="Arial" w:cs="Arial"/>
          <w:b/>
        </w:rPr>
        <w:t>is adopted?</w:t>
      </w:r>
    </w:p>
    <w:p w:rsidR="003E0A8B" w:rsidRPr="00690F06" w:rsidRDefault="003E0A8B" w:rsidP="00945E18">
      <w:pPr>
        <w:numPr>
          <w:ilvl w:val="0"/>
          <w:numId w:val="29"/>
        </w:numPr>
        <w:spacing w:after="240"/>
        <w:rPr>
          <w:rFonts w:ascii="Arial" w:hAnsi="Arial" w:cs="Arial"/>
          <w:b/>
        </w:rPr>
      </w:pPr>
      <w:r>
        <w:rPr>
          <w:rFonts w:ascii="Arial" w:hAnsi="Arial" w:cs="Arial"/>
          <w:b/>
        </w:rPr>
        <w:t xml:space="preserve">Please comment on the cost estimates and assumptions used to derive the cost estimates for the regulatory option, as set out in </w:t>
      </w:r>
      <w:r w:rsidR="0022374A">
        <w:rPr>
          <w:rFonts w:ascii="Arial" w:hAnsi="Arial" w:cs="Arial"/>
          <w:b/>
          <w:caps/>
        </w:rPr>
        <w:t>A</w:t>
      </w:r>
      <w:r>
        <w:rPr>
          <w:rFonts w:ascii="Arial" w:hAnsi="Arial" w:cs="Arial"/>
          <w:b/>
        </w:rPr>
        <w:t xml:space="preserve">ttachment 8. </w:t>
      </w:r>
      <w:r w:rsidR="00A1639E">
        <w:rPr>
          <w:rFonts w:ascii="Arial" w:hAnsi="Arial" w:cs="Arial"/>
          <w:b/>
        </w:rPr>
        <w:t>To what extent do the estimates and assumptions reflect the likely impact of regulation on your business?</w:t>
      </w:r>
    </w:p>
    <w:p w:rsidR="00275208" w:rsidRDefault="00275208" w:rsidP="00945E18">
      <w:pPr>
        <w:numPr>
          <w:ilvl w:val="0"/>
          <w:numId w:val="29"/>
        </w:numPr>
        <w:spacing w:after="240"/>
        <w:rPr>
          <w:rFonts w:ascii="Arial" w:hAnsi="Arial" w:cs="Arial"/>
          <w:b/>
        </w:rPr>
      </w:pPr>
      <w:r w:rsidRPr="00690F06">
        <w:rPr>
          <w:rFonts w:ascii="Arial" w:hAnsi="Arial" w:cs="Arial"/>
          <w:b/>
        </w:rPr>
        <w:t xml:space="preserve">The ACCC is seeking information on the </w:t>
      </w:r>
      <w:r w:rsidR="00EB7D6C" w:rsidRPr="00690F06">
        <w:rPr>
          <w:rFonts w:ascii="Arial" w:hAnsi="Arial" w:cs="Arial"/>
          <w:b/>
        </w:rPr>
        <w:t>downstream implications</w:t>
      </w:r>
      <w:r w:rsidRPr="00690F06">
        <w:rPr>
          <w:rFonts w:ascii="Arial" w:hAnsi="Arial" w:cs="Arial"/>
          <w:b/>
        </w:rPr>
        <w:t xml:space="preserve"> of </w:t>
      </w:r>
      <w:r w:rsidR="00EB7D6C" w:rsidRPr="00690F06">
        <w:rPr>
          <w:rFonts w:ascii="Arial" w:hAnsi="Arial" w:cs="Arial"/>
          <w:b/>
        </w:rPr>
        <w:t xml:space="preserve">any </w:t>
      </w:r>
      <w:r w:rsidRPr="00690F06">
        <w:rPr>
          <w:rFonts w:ascii="Arial" w:hAnsi="Arial" w:cs="Arial"/>
          <w:b/>
        </w:rPr>
        <w:t>additional costs on business</w:t>
      </w:r>
      <w:r w:rsidR="007D204D">
        <w:rPr>
          <w:rFonts w:ascii="Arial" w:hAnsi="Arial" w:cs="Arial"/>
          <w:b/>
        </w:rPr>
        <w:t>. F</w:t>
      </w:r>
      <w:r w:rsidRPr="00690F06">
        <w:rPr>
          <w:rFonts w:ascii="Arial" w:hAnsi="Arial" w:cs="Arial"/>
          <w:b/>
        </w:rPr>
        <w:t xml:space="preserve">or example, will business </w:t>
      </w:r>
      <w:r w:rsidR="00EB7D6C" w:rsidRPr="00690F06">
        <w:rPr>
          <w:rFonts w:ascii="Arial" w:hAnsi="Arial" w:cs="Arial"/>
          <w:b/>
        </w:rPr>
        <w:t xml:space="preserve">fully or partially </w:t>
      </w:r>
      <w:r w:rsidRPr="00690F06">
        <w:rPr>
          <w:rFonts w:ascii="Arial" w:hAnsi="Arial" w:cs="Arial"/>
          <w:b/>
        </w:rPr>
        <w:t>pass costs on</w:t>
      </w:r>
      <w:r w:rsidR="00EB7D6C" w:rsidRPr="00690F06">
        <w:rPr>
          <w:rFonts w:ascii="Arial" w:hAnsi="Arial" w:cs="Arial"/>
          <w:b/>
        </w:rPr>
        <w:t xml:space="preserve"> or</w:t>
      </w:r>
      <w:r w:rsidRPr="00690F06">
        <w:rPr>
          <w:rFonts w:ascii="Arial" w:hAnsi="Arial" w:cs="Arial"/>
          <w:b/>
        </w:rPr>
        <w:t xml:space="preserve"> absorb them</w:t>
      </w:r>
      <w:r w:rsidR="00EB7D6C" w:rsidRPr="00690F06">
        <w:rPr>
          <w:rFonts w:ascii="Arial" w:hAnsi="Arial" w:cs="Arial"/>
          <w:b/>
        </w:rPr>
        <w:t>,</w:t>
      </w:r>
      <w:r w:rsidRPr="00690F06">
        <w:rPr>
          <w:rFonts w:ascii="Arial" w:hAnsi="Arial" w:cs="Arial"/>
          <w:b/>
        </w:rPr>
        <w:t xml:space="preserve"> or cut costs elsewhere?</w:t>
      </w:r>
    </w:p>
    <w:p w:rsidR="008C42D2" w:rsidRPr="00690F06" w:rsidRDefault="008C42D2" w:rsidP="00945E18">
      <w:pPr>
        <w:numPr>
          <w:ilvl w:val="0"/>
          <w:numId w:val="29"/>
        </w:numPr>
        <w:spacing w:after="240"/>
        <w:rPr>
          <w:rFonts w:ascii="Arial" w:hAnsi="Arial" w:cs="Arial"/>
          <w:b/>
        </w:rPr>
      </w:pPr>
      <w:r>
        <w:rPr>
          <w:rFonts w:ascii="Arial" w:hAnsi="Arial" w:cs="Arial"/>
          <w:b/>
        </w:rPr>
        <w:t xml:space="preserve">What is the average price increase that would result from the </w:t>
      </w:r>
      <w:r w:rsidRPr="008C42D2">
        <w:rPr>
          <w:rFonts w:ascii="Arial" w:hAnsi="Arial" w:cs="Arial"/>
          <w:b/>
          <w:i/>
          <w:u w:val="single"/>
        </w:rPr>
        <w:t>regulatory option</w:t>
      </w:r>
      <w:r>
        <w:rPr>
          <w:rFonts w:ascii="Arial" w:hAnsi="Arial" w:cs="Arial"/>
          <w:b/>
        </w:rPr>
        <w:t xml:space="preserve"> (Option 4.3) if it were adopted?</w:t>
      </w:r>
    </w:p>
    <w:p w:rsidR="00356CE0" w:rsidRPr="00690F06" w:rsidRDefault="00356CE0" w:rsidP="00945E18">
      <w:pPr>
        <w:numPr>
          <w:ilvl w:val="0"/>
          <w:numId w:val="29"/>
        </w:numPr>
        <w:spacing w:after="240"/>
        <w:rPr>
          <w:rFonts w:ascii="Arial" w:hAnsi="Arial" w:cs="Arial"/>
          <w:b/>
        </w:rPr>
      </w:pPr>
      <w:r w:rsidRPr="00690F06">
        <w:rPr>
          <w:rFonts w:ascii="Arial" w:hAnsi="Arial" w:cs="Arial"/>
          <w:b/>
        </w:rPr>
        <w:t xml:space="preserve">If the </w:t>
      </w:r>
      <w:r w:rsidR="00B70853" w:rsidRPr="00690F06">
        <w:rPr>
          <w:rFonts w:ascii="Arial" w:hAnsi="Arial" w:cs="Arial"/>
          <w:b/>
          <w:i/>
          <w:u w:val="single"/>
        </w:rPr>
        <w:t>regulatory option</w:t>
      </w:r>
      <w:r w:rsidR="00B70853" w:rsidRPr="00690F06">
        <w:rPr>
          <w:rFonts w:ascii="Arial" w:hAnsi="Arial" w:cs="Arial"/>
          <w:b/>
        </w:rPr>
        <w:t xml:space="preserve"> (</w:t>
      </w:r>
      <w:r w:rsidR="00BC69F3" w:rsidRPr="00690F06">
        <w:rPr>
          <w:rFonts w:ascii="Arial" w:hAnsi="Arial" w:cs="Arial"/>
          <w:b/>
        </w:rPr>
        <w:t>Option</w:t>
      </w:r>
      <w:r w:rsidR="00BC69F3">
        <w:rPr>
          <w:rFonts w:ascii="Arial" w:hAnsi="Arial" w:cs="Arial"/>
          <w:b/>
        </w:rPr>
        <w:t> </w:t>
      </w:r>
      <w:r w:rsidR="00B70853" w:rsidRPr="00690F06">
        <w:rPr>
          <w:rFonts w:ascii="Arial" w:hAnsi="Arial" w:cs="Arial"/>
          <w:b/>
        </w:rPr>
        <w:t>4.</w:t>
      </w:r>
      <w:r w:rsidR="00C01C04">
        <w:rPr>
          <w:rFonts w:ascii="Arial" w:hAnsi="Arial" w:cs="Arial"/>
          <w:b/>
        </w:rPr>
        <w:t>3</w:t>
      </w:r>
      <w:r w:rsidR="00B70853" w:rsidRPr="00690F06">
        <w:rPr>
          <w:rFonts w:ascii="Arial" w:hAnsi="Arial" w:cs="Arial"/>
          <w:b/>
        </w:rPr>
        <w:t xml:space="preserve">) </w:t>
      </w:r>
      <w:r w:rsidRPr="00690F06">
        <w:rPr>
          <w:rFonts w:ascii="Arial" w:hAnsi="Arial" w:cs="Arial"/>
          <w:b/>
        </w:rPr>
        <w:t xml:space="preserve">were adopted, how long would you need to </w:t>
      </w:r>
      <w:r w:rsidR="00B50A0C" w:rsidRPr="00690F06">
        <w:rPr>
          <w:rFonts w:ascii="Arial" w:hAnsi="Arial" w:cs="Arial"/>
          <w:b/>
        </w:rPr>
        <w:t xml:space="preserve">ensure you only </w:t>
      </w:r>
      <w:r w:rsidRPr="00690F06">
        <w:rPr>
          <w:rFonts w:ascii="Arial" w:hAnsi="Arial" w:cs="Arial"/>
          <w:b/>
        </w:rPr>
        <w:t>supply compliant stock?</w:t>
      </w:r>
    </w:p>
    <w:p w:rsidR="00D858BE" w:rsidRPr="00D858BE" w:rsidRDefault="000344F0" w:rsidP="0072265E">
      <w:pPr>
        <w:spacing w:after="240"/>
        <w:rPr>
          <w:rFonts w:ascii="Arial" w:hAnsi="Arial" w:cs="Arial"/>
          <w:b/>
        </w:rPr>
      </w:pPr>
      <w:r w:rsidRPr="00D858BE">
        <w:rPr>
          <w:rFonts w:ascii="Arial" w:hAnsi="Arial" w:cs="Arial"/>
          <w:b/>
        </w:rPr>
        <w:t xml:space="preserve">Consultation </w:t>
      </w:r>
      <w:r w:rsidR="002239EF" w:rsidRPr="00D858BE">
        <w:rPr>
          <w:rFonts w:ascii="Arial" w:hAnsi="Arial" w:cs="Arial"/>
          <w:b/>
        </w:rPr>
        <w:t xml:space="preserve">commences on </w:t>
      </w:r>
      <w:r w:rsidR="00C17335">
        <w:rPr>
          <w:rFonts w:ascii="Arial" w:hAnsi="Arial" w:cs="Arial"/>
          <w:b/>
        </w:rPr>
        <w:t>Tuesday 24</w:t>
      </w:r>
      <w:r w:rsidR="002239EF" w:rsidRPr="00D858BE">
        <w:rPr>
          <w:rFonts w:ascii="Arial" w:hAnsi="Arial" w:cs="Arial"/>
          <w:b/>
        </w:rPr>
        <w:t xml:space="preserve"> February 2015 and</w:t>
      </w:r>
      <w:r w:rsidR="00D858BE" w:rsidRPr="00D858BE">
        <w:rPr>
          <w:rFonts w:ascii="Arial" w:hAnsi="Arial" w:cs="Arial"/>
          <w:b/>
        </w:rPr>
        <w:t xml:space="preserve"> closes on</w:t>
      </w:r>
      <w:r w:rsidR="00F35BE0">
        <w:rPr>
          <w:rFonts w:ascii="Arial" w:hAnsi="Arial" w:cs="Arial"/>
          <w:b/>
        </w:rPr>
        <w:t xml:space="preserve"> Friday </w:t>
      </w:r>
      <w:bookmarkStart w:id="105" w:name="_GoBack"/>
      <w:bookmarkEnd w:id="105"/>
      <w:r w:rsidR="00D858BE">
        <w:rPr>
          <w:rFonts w:ascii="Arial" w:hAnsi="Arial" w:cs="Arial"/>
          <w:b/>
        </w:rPr>
        <w:t>10 April </w:t>
      </w:r>
      <w:r w:rsidR="00D858BE" w:rsidRPr="00D858BE">
        <w:rPr>
          <w:rFonts w:ascii="Arial" w:hAnsi="Arial" w:cs="Arial"/>
          <w:b/>
        </w:rPr>
        <w:t>2015.</w:t>
      </w:r>
      <w:r w:rsidRPr="00D858BE">
        <w:rPr>
          <w:rFonts w:ascii="Arial" w:hAnsi="Arial" w:cs="Arial"/>
          <w:b/>
        </w:rPr>
        <w:t xml:space="preserve"> </w:t>
      </w:r>
    </w:p>
    <w:p w:rsidR="0072265E" w:rsidRDefault="00877C58" w:rsidP="0072265E">
      <w:pPr>
        <w:spacing w:after="240"/>
        <w:rPr>
          <w:rFonts w:ascii="Arial" w:hAnsi="Arial" w:cs="Arial"/>
        </w:rPr>
      </w:pPr>
      <w:r w:rsidRPr="00690F06">
        <w:rPr>
          <w:rFonts w:ascii="Arial" w:hAnsi="Arial" w:cs="Arial"/>
        </w:rPr>
        <w:t>O</w:t>
      </w:r>
      <w:r w:rsidR="0072265E" w:rsidRPr="00690F06">
        <w:rPr>
          <w:rFonts w:ascii="Arial" w:hAnsi="Arial" w:cs="Arial"/>
        </w:rPr>
        <w:t xml:space="preserve">ur preferred method of receiving submissions is via the ACCC Consultation Hub at: </w:t>
      </w:r>
      <w:hyperlink r:id="rId17" w:history="1">
        <w:r w:rsidR="0072265E" w:rsidRPr="00690F06">
          <w:rPr>
            <w:rStyle w:val="Hyperlink"/>
            <w:rFonts w:ascii="Arial" w:hAnsi="Arial" w:cs="Arial"/>
          </w:rPr>
          <w:t>https://consultation.accc.gov.au/</w:t>
        </w:r>
      </w:hyperlink>
      <w:r w:rsidR="0072265E" w:rsidRPr="00690F06">
        <w:rPr>
          <w:rFonts w:ascii="Arial" w:hAnsi="Arial" w:cs="Arial"/>
        </w:rPr>
        <w:t>.</w:t>
      </w:r>
    </w:p>
    <w:p w:rsidR="00AC56F7" w:rsidRPr="00690F06" w:rsidRDefault="00D858BE" w:rsidP="0072265E">
      <w:pPr>
        <w:spacing w:before="120" w:after="240" w:line="240" w:lineRule="atLeast"/>
        <w:jc w:val="both"/>
        <w:rPr>
          <w:rFonts w:ascii="Arial" w:hAnsi="Arial" w:cs="Arial"/>
        </w:rPr>
      </w:pPr>
      <w:r>
        <w:rPr>
          <w:rFonts w:ascii="Arial" w:hAnsi="Arial" w:cs="Arial"/>
        </w:rPr>
        <w:t>However, e</w:t>
      </w:r>
      <w:r w:rsidR="0072265E" w:rsidRPr="00690F06">
        <w:rPr>
          <w:rFonts w:ascii="Arial" w:hAnsi="Arial" w:cs="Arial"/>
        </w:rPr>
        <w:t xml:space="preserve">lectronic submissions </w:t>
      </w:r>
      <w:r w:rsidR="00594E2E" w:rsidRPr="00690F06">
        <w:rPr>
          <w:rFonts w:ascii="Arial" w:hAnsi="Arial" w:cs="Arial"/>
        </w:rPr>
        <w:t>(</w:t>
      </w:r>
      <w:r w:rsidR="0072265E" w:rsidRPr="00690F06">
        <w:rPr>
          <w:rFonts w:ascii="Arial" w:hAnsi="Arial" w:cs="Arial"/>
        </w:rPr>
        <w:t>MS Word preferred</w:t>
      </w:r>
      <w:r w:rsidR="00594E2E" w:rsidRPr="00690F06">
        <w:rPr>
          <w:rFonts w:ascii="Arial" w:hAnsi="Arial" w:cs="Arial"/>
        </w:rPr>
        <w:t>)</w:t>
      </w:r>
      <w:r w:rsidR="0072265E" w:rsidRPr="00690F06">
        <w:rPr>
          <w:rFonts w:ascii="Arial" w:hAnsi="Arial" w:cs="Arial"/>
        </w:rPr>
        <w:t xml:space="preserve"> and can</w:t>
      </w:r>
      <w:r w:rsidR="00AC56F7" w:rsidRPr="00690F06">
        <w:rPr>
          <w:rFonts w:ascii="Arial" w:hAnsi="Arial" w:cs="Arial"/>
        </w:rPr>
        <w:t xml:space="preserve"> be sent to the ACCC </w:t>
      </w:r>
      <w:r w:rsidR="0072265E" w:rsidRPr="00690F06">
        <w:rPr>
          <w:rFonts w:ascii="Arial" w:hAnsi="Arial" w:cs="Arial"/>
        </w:rPr>
        <w:t xml:space="preserve">via </w:t>
      </w:r>
      <w:hyperlink r:id="rId18" w:history="1">
        <w:r w:rsidR="00DB1827" w:rsidRPr="00C607A3">
          <w:rPr>
            <w:rStyle w:val="Hyperlink"/>
            <w:rFonts w:ascii="Arial" w:hAnsi="Arial" w:cs="Arial"/>
          </w:rPr>
          <w:t>productsafety.regulation@accc.gov.au</w:t>
        </w:r>
      </w:hyperlink>
      <w:r w:rsidR="00371229">
        <w:rPr>
          <w:rFonts w:ascii="Arial" w:hAnsi="Arial" w:cs="Arial"/>
        </w:rPr>
        <w:t xml:space="preserve"> </w:t>
      </w:r>
      <w:r w:rsidR="0072265E" w:rsidRPr="00690F06">
        <w:rPr>
          <w:rFonts w:ascii="Arial" w:hAnsi="Arial" w:cs="Arial"/>
        </w:rPr>
        <w:t xml:space="preserve">or hard copy material </w:t>
      </w:r>
      <w:r w:rsidR="00AC56F7" w:rsidRPr="00690F06">
        <w:rPr>
          <w:rFonts w:ascii="Arial" w:hAnsi="Arial" w:cs="Arial"/>
        </w:rPr>
        <w:t>mailed to:</w:t>
      </w:r>
    </w:p>
    <w:p w:rsidR="00AC56F7" w:rsidRDefault="00AC56F7" w:rsidP="00AC56F7">
      <w:pPr>
        <w:keepNext/>
        <w:rPr>
          <w:rFonts w:ascii="Arial" w:hAnsi="Arial" w:cs="Arial"/>
        </w:rPr>
      </w:pPr>
      <w:r w:rsidRPr="00690F06">
        <w:rPr>
          <w:rFonts w:ascii="Arial" w:hAnsi="Arial" w:cs="Arial"/>
        </w:rPr>
        <w:t>Director</w:t>
      </w:r>
    </w:p>
    <w:p w:rsidR="005C377F" w:rsidRPr="00690F06" w:rsidRDefault="00057092" w:rsidP="00AC56F7">
      <w:pPr>
        <w:keepNext/>
        <w:rPr>
          <w:rFonts w:ascii="Arial" w:hAnsi="Arial" w:cs="Arial"/>
        </w:rPr>
      </w:pPr>
      <w:r>
        <w:rPr>
          <w:rFonts w:ascii="Arial" w:hAnsi="Arial" w:cs="Arial"/>
        </w:rPr>
        <w:t>Policy and Engagement</w:t>
      </w:r>
      <w:r w:rsidR="00B8720B">
        <w:rPr>
          <w:rFonts w:ascii="Arial" w:hAnsi="Arial" w:cs="Arial"/>
        </w:rPr>
        <w:t xml:space="preserve"> Section</w:t>
      </w:r>
    </w:p>
    <w:p w:rsidR="00AC56F7" w:rsidRPr="00690F06" w:rsidRDefault="00976283" w:rsidP="00AC56F7">
      <w:pPr>
        <w:keepNext/>
        <w:rPr>
          <w:rFonts w:ascii="Arial" w:hAnsi="Arial" w:cs="Arial"/>
        </w:rPr>
      </w:pPr>
      <w:r w:rsidRPr="00690F06">
        <w:rPr>
          <w:rFonts w:ascii="Arial" w:hAnsi="Arial" w:cs="Arial"/>
        </w:rPr>
        <w:t>Product Safety</w:t>
      </w:r>
      <w:r w:rsidR="00057092">
        <w:rPr>
          <w:rFonts w:ascii="Arial" w:hAnsi="Arial" w:cs="Arial"/>
        </w:rPr>
        <w:t xml:space="preserve"> Branch</w:t>
      </w:r>
      <w:r w:rsidR="004D1B5E" w:rsidRPr="00690F06">
        <w:rPr>
          <w:rFonts w:ascii="Arial" w:hAnsi="Arial" w:cs="Arial"/>
        </w:rPr>
        <w:t xml:space="preserve"> </w:t>
      </w:r>
    </w:p>
    <w:p w:rsidR="00AC56F7" w:rsidRPr="00690F06" w:rsidRDefault="00AC56F7" w:rsidP="00AC56F7">
      <w:pPr>
        <w:keepNext/>
        <w:rPr>
          <w:rFonts w:ascii="Arial" w:hAnsi="Arial" w:cs="Arial"/>
        </w:rPr>
      </w:pPr>
      <w:r w:rsidRPr="00690F06">
        <w:rPr>
          <w:rFonts w:ascii="Arial" w:hAnsi="Arial" w:cs="Arial"/>
        </w:rPr>
        <w:t>Australian Competition and Consumer Commission</w:t>
      </w:r>
    </w:p>
    <w:p w:rsidR="00AC56F7" w:rsidRPr="00690F06" w:rsidRDefault="00AC56F7" w:rsidP="00AC56F7">
      <w:pPr>
        <w:keepNext/>
        <w:rPr>
          <w:rFonts w:ascii="Arial" w:hAnsi="Arial" w:cs="Arial"/>
        </w:rPr>
      </w:pPr>
      <w:r w:rsidRPr="00690F06">
        <w:rPr>
          <w:rFonts w:ascii="Arial" w:hAnsi="Arial" w:cs="Arial"/>
        </w:rPr>
        <w:t>GPO Box</w:t>
      </w:r>
      <w:r w:rsidR="00104A48">
        <w:rPr>
          <w:rFonts w:ascii="Arial" w:hAnsi="Arial" w:cs="Arial"/>
        </w:rPr>
        <w:t> </w:t>
      </w:r>
      <w:r w:rsidRPr="00690F06">
        <w:rPr>
          <w:rFonts w:ascii="Arial" w:hAnsi="Arial" w:cs="Arial"/>
        </w:rPr>
        <w:t>3131</w:t>
      </w:r>
    </w:p>
    <w:p w:rsidR="00AC56F7" w:rsidRPr="00690F06" w:rsidRDefault="00AC56F7" w:rsidP="00AC56F7">
      <w:pPr>
        <w:rPr>
          <w:rFonts w:ascii="Arial" w:hAnsi="Arial" w:cs="Arial"/>
        </w:rPr>
      </w:pPr>
      <w:r w:rsidRPr="00690F06">
        <w:rPr>
          <w:rFonts w:ascii="Arial" w:hAnsi="Arial" w:cs="Arial"/>
        </w:rPr>
        <w:t>CANBERRA   ACT   2601</w:t>
      </w:r>
    </w:p>
    <w:p w:rsidR="00AC56F7" w:rsidRPr="00690F06" w:rsidRDefault="00AC56F7" w:rsidP="00AC56F7">
      <w:pPr>
        <w:spacing w:after="240"/>
        <w:rPr>
          <w:rFonts w:ascii="Arial" w:hAnsi="Arial" w:cs="Arial"/>
        </w:rPr>
      </w:pPr>
    </w:p>
    <w:p w:rsidR="00AC56F7" w:rsidRPr="00690F06" w:rsidRDefault="00AC56F7" w:rsidP="00AC56F7">
      <w:pPr>
        <w:spacing w:after="240"/>
        <w:rPr>
          <w:rFonts w:ascii="Arial" w:hAnsi="Arial" w:cs="Arial"/>
        </w:rPr>
      </w:pPr>
      <w:r w:rsidRPr="00690F06">
        <w:rPr>
          <w:rFonts w:ascii="Arial" w:hAnsi="Arial" w:cs="Arial"/>
        </w:rPr>
        <w:t>If the information provided is of a confidential nature, you can be assured that the details provided by you will be treated confidentially. That is, the ACCC will not disclose the confidential information to third parties, other than advisors or consultants engaged directly by the ACCC, without first providing you with notice of its intention to do so, such as where it is compelled to do so by law. Please note that any information which you believe to be of a confidential nature should be clearly marked or identified as confidential.</w:t>
      </w:r>
    </w:p>
    <w:p w:rsidR="00AC56F7" w:rsidRPr="00690F06" w:rsidRDefault="00AC56F7" w:rsidP="00AC56F7">
      <w:pPr>
        <w:spacing w:after="240"/>
        <w:rPr>
          <w:rFonts w:ascii="Arial" w:hAnsi="Arial" w:cs="Arial"/>
        </w:rPr>
      </w:pPr>
      <w:r w:rsidRPr="00690F06">
        <w:rPr>
          <w:rFonts w:ascii="Arial" w:hAnsi="Arial" w:cs="Arial"/>
        </w:rPr>
        <w:t xml:space="preserve">The ACCC may be compelled by law to disclose submissions (for example under subpoena or following a request under the </w:t>
      </w:r>
      <w:r w:rsidRPr="00690F06">
        <w:rPr>
          <w:rFonts w:ascii="Arial" w:hAnsi="Arial" w:cs="Arial"/>
          <w:i/>
        </w:rPr>
        <w:t xml:space="preserve">Freedom of Information </w:t>
      </w:r>
      <w:r w:rsidR="00BC69F3" w:rsidRPr="00690F06">
        <w:rPr>
          <w:rFonts w:ascii="Arial" w:hAnsi="Arial" w:cs="Arial"/>
          <w:i/>
        </w:rPr>
        <w:t>Act</w:t>
      </w:r>
      <w:r w:rsidR="00BC69F3">
        <w:rPr>
          <w:rFonts w:ascii="Arial" w:hAnsi="Arial" w:cs="Arial"/>
          <w:i/>
        </w:rPr>
        <w:t> </w:t>
      </w:r>
      <w:r w:rsidRPr="00690F06">
        <w:rPr>
          <w:rFonts w:ascii="Arial" w:hAnsi="Arial" w:cs="Arial"/>
          <w:i/>
        </w:rPr>
        <w:t>1982</w:t>
      </w:r>
      <w:r w:rsidRPr="00690F06">
        <w:rPr>
          <w:rFonts w:ascii="Arial" w:hAnsi="Arial" w:cs="Arial"/>
        </w:rPr>
        <w:t xml:space="preserve">). For more information see the ACCC-AER Information Policy available via </w:t>
      </w:r>
      <w:hyperlink r:id="rId19" w:history="1">
        <w:r w:rsidR="004D1B5E" w:rsidRPr="00690F06">
          <w:rPr>
            <w:rStyle w:val="Hyperlink"/>
            <w:rFonts w:ascii="Arial" w:hAnsi="Arial" w:cs="Arial"/>
          </w:rPr>
          <w:t>www.accc.gov.au</w:t>
        </w:r>
      </w:hyperlink>
    </w:p>
    <w:p w:rsidR="00CB6994" w:rsidRPr="00057880" w:rsidRDefault="00CB6994" w:rsidP="0078383B">
      <w:pPr>
        <w:pStyle w:val="Heading1"/>
        <w:spacing w:after="240"/>
        <w:ind w:left="2835" w:hanging="2835"/>
        <w:rPr>
          <w:rFonts w:ascii="Lucida Fax" w:hAnsi="Lucida Fax"/>
          <w:lang w:val="en-AU"/>
        </w:rPr>
      </w:pPr>
      <w:r w:rsidRPr="006B5B04">
        <w:rPr>
          <w:lang w:val="en-AU"/>
        </w:rPr>
        <w:br w:type="page"/>
      </w:r>
      <w:bookmarkStart w:id="106" w:name="_Toc412196647"/>
      <w:r w:rsidR="00E91CD0" w:rsidRPr="00057880">
        <w:rPr>
          <w:rFonts w:ascii="Lucida Fax" w:hAnsi="Lucida Fax"/>
          <w:lang w:val="en-AU"/>
        </w:rPr>
        <w:lastRenderedPageBreak/>
        <w:t>Attachment </w:t>
      </w:r>
      <w:r w:rsidR="00392697" w:rsidRPr="00057880">
        <w:rPr>
          <w:rFonts w:ascii="Lucida Fax" w:hAnsi="Lucida Fax"/>
          <w:lang w:val="en-AU"/>
        </w:rPr>
        <w:t>1</w:t>
      </w:r>
      <w:r w:rsidR="0078383B" w:rsidRPr="00057880">
        <w:rPr>
          <w:rFonts w:ascii="Lucida Fax" w:hAnsi="Lucida Fax"/>
          <w:lang w:val="en-AU"/>
        </w:rPr>
        <w:t>:</w:t>
      </w:r>
      <w:r w:rsidR="0078383B" w:rsidRPr="00057880">
        <w:rPr>
          <w:rFonts w:ascii="Lucida Fax" w:hAnsi="Lucida Fax"/>
          <w:lang w:val="en-AU"/>
        </w:rPr>
        <w:tab/>
      </w:r>
      <w:r w:rsidRPr="00057880">
        <w:rPr>
          <w:rFonts w:ascii="Lucida Fax" w:hAnsi="Lucida Fax"/>
          <w:lang w:val="en-AU"/>
        </w:rPr>
        <w:t xml:space="preserve">Summary of comments from </w:t>
      </w:r>
      <w:r w:rsidR="000B2B96" w:rsidRPr="00057880">
        <w:rPr>
          <w:rFonts w:ascii="Lucida Fax" w:hAnsi="Lucida Fax"/>
          <w:lang w:val="en-AU"/>
        </w:rPr>
        <w:t>June </w:t>
      </w:r>
      <w:r w:rsidRPr="00057880">
        <w:rPr>
          <w:rFonts w:ascii="Lucida Fax" w:hAnsi="Lucida Fax"/>
          <w:lang w:val="en-AU"/>
        </w:rPr>
        <w:t>2014 call for information</w:t>
      </w:r>
      <w:bookmarkEnd w:id="106"/>
    </w:p>
    <w:p w:rsidR="00CB6994" w:rsidRPr="00690F06" w:rsidRDefault="00CB6994" w:rsidP="00653AF2">
      <w:pPr>
        <w:spacing w:after="120"/>
        <w:rPr>
          <w:rFonts w:ascii="Arial" w:hAnsi="Arial" w:cs="Arial"/>
        </w:rPr>
      </w:pPr>
      <w:r w:rsidRPr="00690F06">
        <w:rPr>
          <w:rFonts w:ascii="Arial" w:hAnsi="Arial" w:cs="Arial"/>
        </w:rPr>
        <w:t xml:space="preserve">In </w:t>
      </w:r>
      <w:r w:rsidR="000B2B96" w:rsidRPr="00690F06">
        <w:rPr>
          <w:rFonts w:ascii="Arial" w:hAnsi="Arial" w:cs="Arial"/>
        </w:rPr>
        <w:t>June</w:t>
      </w:r>
      <w:r w:rsidR="000B2B96">
        <w:rPr>
          <w:rFonts w:ascii="Arial" w:hAnsi="Arial" w:cs="Arial"/>
        </w:rPr>
        <w:t> </w:t>
      </w:r>
      <w:r w:rsidRPr="00690F06">
        <w:rPr>
          <w:rFonts w:ascii="Arial" w:hAnsi="Arial" w:cs="Arial"/>
        </w:rPr>
        <w:t xml:space="preserve">2014 the ACCC requested Australian suppliers provide general information about their business and provide data on the anticipated additional costs they may incur due to </w:t>
      </w:r>
      <w:r w:rsidR="0066255A" w:rsidRPr="00690F06">
        <w:rPr>
          <w:rFonts w:ascii="Arial" w:hAnsi="Arial" w:cs="Arial"/>
        </w:rPr>
        <w:t xml:space="preserve">regulation or </w:t>
      </w:r>
      <w:r w:rsidR="0066255A">
        <w:rPr>
          <w:rFonts w:ascii="Arial" w:hAnsi="Arial" w:cs="Arial"/>
        </w:rPr>
        <w:t>publishing non-regulatory safety reference limits</w:t>
      </w:r>
      <w:r w:rsidRPr="00690F06">
        <w:rPr>
          <w:rFonts w:ascii="Arial" w:hAnsi="Arial" w:cs="Arial"/>
        </w:rPr>
        <w:t xml:space="preserve">. Nineteen submissions were received and the following points are drawn from submissions. A number of suppliers requested that their submissions be treated as confidential, so individual suppliers have not been identified. </w:t>
      </w:r>
    </w:p>
    <w:p w:rsidR="00CB6994" w:rsidRPr="00690F06" w:rsidRDefault="00CB6994" w:rsidP="00653AF2">
      <w:pPr>
        <w:numPr>
          <w:ilvl w:val="0"/>
          <w:numId w:val="30"/>
        </w:numPr>
        <w:spacing w:before="60" w:after="60"/>
        <w:ind w:left="357" w:hanging="357"/>
        <w:rPr>
          <w:rFonts w:ascii="Arial" w:hAnsi="Arial" w:cs="Arial"/>
        </w:rPr>
      </w:pPr>
      <w:r w:rsidRPr="00690F06">
        <w:rPr>
          <w:rFonts w:ascii="Arial" w:hAnsi="Arial" w:cs="Arial"/>
        </w:rPr>
        <w:t>Nearly all of the retailers sourced products through multiple channels including directly from overseas manufacturers, from importers/wholesalers and/or through international sourcing agents.</w:t>
      </w:r>
    </w:p>
    <w:p w:rsidR="00CB6994" w:rsidRPr="00690F06" w:rsidRDefault="00CB6994" w:rsidP="00653AF2">
      <w:pPr>
        <w:numPr>
          <w:ilvl w:val="0"/>
          <w:numId w:val="30"/>
        </w:numPr>
        <w:spacing w:before="60" w:after="60"/>
        <w:ind w:left="357" w:hanging="357"/>
        <w:rPr>
          <w:rFonts w:ascii="Arial" w:hAnsi="Arial" w:cs="Arial"/>
        </w:rPr>
      </w:pPr>
      <w:r w:rsidRPr="00690F06">
        <w:rPr>
          <w:rFonts w:ascii="Arial" w:hAnsi="Arial" w:cs="Arial"/>
        </w:rPr>
        <w:t xml:space="preserve">The </w:t>
      </w:r>
      <w:proofErr w:type="gramStart"/>
      <w:r w:rsidRPr="00690F06">
        <w:rPr>
          <w:rFonts w:ascii="Arial" w:hAnsi="Arial" w:cs="Arial"/>
        </w:rPr>
        <w:t>range</w:t>
      </w:r>
      <w:proofErr w:type="gramEnd"/>
      <w:r w:rsidRPr="00690F06">
        <w:rPr>
          <w:rFonts w:ascii="Arial" w:hAnsi="Arial" w:cs="Arial"/>
        </w:rPr>
        <w:t xml:space="preserve"> of countries where goods are sourced include China, Bangladesh, India, Vietnam, Thailand, Cambodia, Taiwan, Pakistan, Indonesia</w:t>
      </w:r>
      <w:r w:rsidR="000B2B96">
        <w:rPr>
          <w:rFonts w:ascii="Arial" w:hAnsi="Arial" w:cs="Arial"/>
        </w:rPr>
        <w:t xml:space="preserve"> and</w:t>
      </w:r>
      <w:r w:rsidRPr="00690F06">
        <w:rPr>
          <w:rFonts w:ascii="Arial" w:hAnsi="Arial" w:cs="Arial"/>
        </w:rPr>
        <w:t xml:space="preserve"> Malaysia.</w:t>
      </w:r>
    </w:p>
    <w:p w:rsidR="00CB6994" w:rsidRPr="00690F06" w:rsidRDefault="00CB6994" w:rsidP="00653AF2">
      <w:pPr>
        <w:numPr>
          <w:ilvl w:val="0"/>
          <w:numId w:val="30"/>
        </w:numPr>
        <w:spacing w:before="60" w:after="60"/>
        <w:ind w:left="357" w:hanging="357"/>
        <w:rPr>
          <w:rFonts w:ascii="Arial" w:hAnsi="Arial" w:cs="Arial"/>
        </w:rPr>
      </w:pPr>
      <w:r w:rsidRPr="00690F06">
        <w:rPr>
          <w:rFonts w:ascii="Arial" w:hAnsi="Arial" w:cs="Arial"/>
        </w:rPr>
        <w:t xml:space="preserve">All responses indicated a high level of awareness of the safety issues associated with certain azo dyes that reduce to </w:t>
      </w:r>
      <w:r w:rsidR="00F3317A" w:rsidRPr="00690F06">
        <w:rPr>
          <w:rFonts w:ascii="Arial" w:hAnsi="Arial" w:cs="Arial"/>
        </w:rPr>
        <w:t xml:space="preserve">hazardous </w:t>
      </w:r>
      <w:r w:rsidRPr="00690F06">
        <w:rPr>
          <w:rFonts w:ascii="Arial" w:hAnsi="Arial" w:cs="Arial"/>
        </w:rPr>
        <w:t>aromatic amines. Most stated that their awareness spans many years.</w:t>
      </w:r>
    </w:p>
    <w:p w:rsidR="00CB6994" w:rsidRPr="00690F06" w:rsidRDefault="0018026C" w:rsidP="00653AF2">
      <w:pPr>
        <w:numPr>
          <w:ilvl w:val="0"/>
          <w:numId w:val="30"/>
        </w:numPr>
        <w:spacing w:before="60" w:after="60"/>
        <w:ind w:left="357" w:hanging="357"/>
        <w:rPr>
          <w:rFonts w:ascii="Arial" w:hAnsi="Arial" w:cs="Arial"/>
        </w:rPr>
      </w:pPr>
      <w:r w:rsidRPr="00690F06">
        <w:rPr>
          <w:rFonts w:ascii="Arial" w:hAnsi="Arial" w:cs="Arial"/>
        </w:rPr>
        <w:t>Whil</w:t>
      </w:r>
      <w:r w:rsidR="00E32B6F">
        <w:rPr>
          <w:rFonts w:ascii="Arial" w:hAnsi="Arial" w:cs="Arial"/>
        </w:rPr>
        <w:t>e</w:t>
      </w:r>
      <w:r w:rsidRPr="00690F06">
        <w:rPr>
          <w:rFonts w:ascii="Arial" w:hAnsi="Arial" w:cs="Arial"/>
        </w:rPr>
        <w:t xml:space="preserve"> there was divergence on total costs, t</w:t>
      </w:r>
      <w:r w:rsidR="00CB6994" w:rsidRPr="00690F06">
        <w:rPr>
          <w:rFonts w:ascii="Arial" w:hAnsi="Arial" w:cs="Arial"/>
        </w:rPr>
        <w:t xml:space="preserve">here was a level of consistency in </w:t>
      </w:r>
      <w:r w:rsidRPr="00690F06">
        <w:rPr>
          <w:rFonts w:ascii="Arial" w:hAnsi="Arial" w:cs="Arial"/>
        </w:rPr>
        <w:t xml:space="preserve">some elements of the cost estimates, including actual </w:t>
      </w:r>
      <w:r w:rsidR="00CB6994" w:rsidRPr="00690F06">
        <w:rPr>
          <w:rFonts w:ascii="Arial" w:hAnsi="Arial" w:cs="Arial"/>
        </w:rPr>
        <w:t>product testing and administration costs associated with managing testing program</w:t>
      </w:r>
      <w:r w:rsidRPr="00690F06">
        <w:rPr>
          <w:rFonts w:ascii="Arial" w:hAnsi="Arial" w:cs="Arial"/>
        </w:rPr>
        <w:t>s</w:t>
      </w:r>
      <w:r w:rsidR="00CB6994" w:rsidRPr="00690F06">
        <w:rPr>
          <w:rFonts w:ascii="Arial" w:hAnsi="Arial" w:cs="Arial"/>
        </w:rPr>
        <w:t xml:space="preserve"> and test results.</w:t>
      </w:r>
    </w:p>
    <w:p w:rsidR="00CB6994" w:rsidRPr="00690F06" w:rsidRDefault="00CB6994" w:rsidP="00653AF2">
      <w:pPr>
        <w:numPr>
          <w:ilvl w:val="0"/>
          <w:numId w:val="30"/>
        </w:numPr>
        <w:spacing w:before="60" w:after="60"/>
        <w:ind w:left="357" w:hanging="357"/>
        <w:rPr>
          <w:rFonts w:ascii="Arial" w:hAnsi="Arial" w:cs="Arial"/>
        </w:rPr>
      </w:pPr>
      <w:r w:rsidRPr="00690F06">
        <w:rPr>
          <w:rFonts w:ascii="Arial" w:hAnsi="Arial" w:cs="Arial"/>
        </w:rPr>
        <w:t xml:space="preserve">Most retailers indicated they already work to the same limits as the EU and had in place quality assurance measures </w:t>
      </w:r>
      <w:r w:rsidR="00D53ED2">
        <w:rPr>
          <w:rFonts w:ascii="Arial" w:hAnsi="Arial" w:cs="Arial"/>
        </w:rPr>
        <w:t>that</w:t>
      </w:r>
      <w:r w:rsidRPr="00690F06">
        <w:rPr>
          <w:rFonts w:ascii="Arial" w:hAnsi="Arial" w:cs="Arial"/>
        </w:rPr>
        <w:t xml:space="preserve"> specified against the use of hazardous azo dyes.</w:t>
      </w:r>
    </w:p>
    <w:p w:rsidR="00CB6994" w:rsidRPr="00690F06" w:rsidRDefault="00CB6994" w:rsidP="00653AF2">
      <w:pPr>
        <w:numPr>
          <w:ilvl w:val="0"/>
          <w:numId w:val="30"/>
        </w:numPr>
        <w:spacing w:before="60" w:after="60"/>
        <w:rPr>
          <w:rFonts w:ascii="Arial" w:hAnsi="Arial" w:cs="Arial"/>
        </w:rPr>
      </w:pPr>
      <w:r w:rsidRPr="00690F06">
        <w:rPr>
          <w:rFonts w:ascii="Arial" w:hAnsi="Arial" w:cs="Arial"/>
        </w:rPr>
        <w:t xml:space="preserve">Suppliers indicated that additional costs would be greater under a regulatory option than </w:t>
      </w:r>
      <w:r w:rsidR="00364E31">
        <w:rPr>
          <w:rFonts w:ascii="Arial" w:hAnsi="Arial" w:cs="Arial"/>
        </w:rPr>
        <w:t>a</w:t>
      </w:r>
      <w:r w:rsidRPr="00690F06">
        <w:rPr>
          <w:rFonts w:ascii="Arial" w:hAnsi="Arial" w:cs="Arial"/>
        </w:rPr>
        <w:t xml:space="preserve"> </w:t>
      </w:r>
      <w:r w:rsidR="0066255A" w:rsidRPr="0066255A">
        <w:rPr>
          <w:rFonts w:ascii="Arial" w:hAnsi="Arial" w:cs="Arial"/>
        </w:rPr>
        <w:t xml:space="preserve">non-regulatory </w:t>
      </w:r>
      <w:r w:rsidR="0066255A">
        <w:rPr>
          <w:rFonts w:ascii="Arial" w:hAnsi="Arial" w:cs="Arial"/>
        </w:rPr>
        <w:t>option</w:t>
      </w:r>
      <w:r w:rsidRPr="00690F06">
        <w:rPr>
          <w:rFonts w:ascii="Arial" w:hAnsi="Arial" w:cs="Arial"/>
        </w:rPr>
        <w:t xml:space="preserve">. A number of stakeholders stated that there would be minimal change to their practices under </w:t>
      </w:r>
      <w:r w:rsidR="0066255A">
        <w:rPr>
          <w:rFonts w:ascii="Arial" w:hAnsi="Arial" w:cs="Arial"/>
        </w:rPr>
        <w:t>the non-regulatory option</w:t>
      </w:r>
      <w:r w:rsidRPr="00690F06">
        <w:rPr>
          <w:rFonts w:ascii="Arial" w:hAnsi="Arial" w:cs="Arial"/>
        </w:rPr>
        <w:t>.</w:t>
      </w:r>
    </w:p>
    <w:p w:rsidR="00CB6994" w:rsidRPr="00690F06" w:rsidRDefault="00CB6994" w:rsidP="00653AF2">
      <w:pPr>
        <w:numPr>
          <w:ilvl w:val="0"/>
          <w:numId w:val="30"/>
        </w:numPr>
        <w:spacing w:before="60" w:after="60"/>
        <w:ind w:left="357" w:hanging="357"/>
        <w:rPr>
          <w:rFonts w:ascii="Arial" w:hAnsi="Arial" w:cs="Arial"/>
        </w:rPr>
      </w:pPr>
      <w:r w:rsidRPr="00690F06">
        <w:rPr>
          <w:rFonts w:ascii="Arial" w:hAnsi="Arial" w:cs="Arial"/>
        </w:rPr>
        <w:t>There was concern that regulation may impose significant additional costs on suppliers and those costs may make it too expensive to stay in business. Generally there was a view that the compliance costs for the regulatory option would be the highest.</w:t>
      </w:r>
    </w:p>
    <w:p w:rsidR="00CB6994" w:rsidRPr="00690F06" w:rsidRDefault="00882B08" w:rsidP="00653AF2">
      <w:pPr>
        <w:numPr>
          <w:ilvl w:val="0"/>
          <w:numId w:val="30"/>
        </w:numPr>
        <w:spacing w:before="60" w:after="60"/>
        <w:ind w:left="357" w:hanging="357"/>
        <w:rPr>
          <w:rFonts w:ascii="Arial" w:hAnsi="Arial" w:cs="Arial"/>
        </w:rPr>
      </w:pPr>
      <w:r>
        <w:rPr>
          <w:rFonts w:ascii="Arial" w:hAnsi="Arial" w:cs="Arial"/>
        </w:rPr>
        <w:t>One stakeholder stated that m</w:t>
      </w:r>
      <w:r w:rsidR="00CB6994" w:rsidRPr="00690F06">
        <w:rPr>
          <w:rFonts w:ascii="Arial" w:hAnsi="Arial" w:cs="Arial"/>
        </w:rPr>
        <w:t xml:space="preserve">edium to large businesses may incur additional costs of </w:t>
      </w:r>
      <w:r w:rsidR="000B2B96" w:rsidRPr="00690F06">
        <w:rPr>
          <w:rFonts w:ascii="Arial" w:hAnsi="Arial" w:cs="Arial"/>
        </w:rPr>
        <w:t>between</w:t>
      </w:r>
      <w:r w:rsidR="000B2B96">
        <w:rPr>
          <w:rFonts w:ascii="Arial" w:hAnsi="Arial" w:cs="Arial"/>
        </w:rPr>
        <w:t> </w:t>
      </w:r>
      <w:r w:rsidR="00CB6994" w:rsidRPr="00690F06">
        <w:rPr>
          <w:rFonts w:ascii="Arial" w:hAnsi="Arial" w:cs="Arial"/>
        </w:rPr>
        <w:t xml:space="preserve">$100 000 </w:t>
      </w:r>
      <w:r w:rsidR="000B2B96" w:rsidRPr="00690F06">
        <w:rPr>
          <w:rFonts w:ascii="Arial" w:hAnsi="Arial" w:cs="Arial"/>
        </w:rPr>
        <w:t>and</w:t>
      </w:r>
      <w:r w:rsidR="000B2B96">
        <w:rPr>
          <w:rFonts w:ascii="Arial" w:hAnsi="Arial" w:cs="Arial"/>
        </w:rPr>
        <w:t> </w:t>
      </w:r>
      <w:r w:rsidR="00CB6994" w:rsidRPr="00690F06">
        <w:rPr>
          <w:rFonts w:ascii="Arial" w:hAnsi="Arial" w:cs="Arial"/>
        </w:rPr>
        <w:t>$300 000 in the first year</w:t>
      </w:r>
      <w:r w:rsidR="00FF2BBC" w:rsidRPr="00690F06">
        <w:rPr>
          <w:rFonts w:ascii="Arial" w:hAnsi="Arial" w:cs="Arial"/>
        </w:rPr>
        <w:t>,</w:t>
      </w:r>
      <w:r w:rsidR="00CB6994" w:rsidRPr="00690F06">
        <w:rPr>
          <w:rFonts w:ascii="Arial" w:hAnsi="Arial" w:cs="Arial"/>
        </w:rPr>
        <w:t xml:space="preserve"> but </w:t>
      </w:r>
      <w:r w:rsidR="00FF2BBC" w:rsidRPr="00690F06">
        <w:rPr>
          <w:rFonts w:ascii="Arial" w:hAnsi="Arial" w:cs="Arial"/>
        </w:rPr>
        <w:t xml:space="preserve">industry asserts </w:t>
      </w:r>
      <w:r w:rsidR="00CB6994" w:rsidRPr="00690F06">
        <w:rPr>
          <w:rFonts w:ascii="Arial" w:hAnsi="Arial" w:cs="Arial"/>
        </w:rPr>
        <w:t xml:space="preserve">these costs </w:t>
      </w:r>
      <w:r w:rsidR="00D72D85" w:rsidRPr="00690F06">
        <w:rPr>
          <w:rFonts w:ascii="Arial" w:hAnsi="Arial" w:cs="Arial"/>
        </w:rPr>
        <w:t xml:space="preserve">are a </w:t>
      </w:r>
      <w:r w:rsidR="00FF2BBC" w:rsidRPr="00690F06">
        <w:rPr>
          <w:rFonts w:ascii="Arial" w:hAnsi="Arial" w:cs="Arial"/>
        </w:rPr>
        <w:t>conservative estimate</w:t>
      </w:r>
      <w:r w:rsidR="00F2726F" w:rsidRPr="00690F06">
        <w:rPr>
          <w:rFonts w:ascii="Arial" w:hAnsi="Arial" w:cs="Arial"/>
        </w:rPr>
        <w:t xml:space="preserve"> and at least one major supplier estimates costs significantly higher</w:t>
      </w:r>
      <w:r w:rsidR="00FF2BBC" w:rsidRPr="00690F06">
        <w:rPr>
          <w:rFonts w:ascii="Arial" w:hAnsi="Arial" w:cs="Arial"/>
        </w:rPr>
        <w:t>.</w:t>
      </w:r>
    </w:p>
    <w:p w:rsidR="00CB6994" w:rsidRPr="00690F06" w:rsidRDefault="00CB6994" w:rsidP="00653AF2">
      <w:pPr>
        <w:numPr>
          <w:ilvl w:val="0"/>
          <w:numId w:val="30"/>
        </w:numPr>
        <w:spacing w:before="60" w:after="60"/>
        <w:ind w:left="357" w:hanging="357"/>
        <w:rPr>
          <w:rFonts w:ascii="Arial" w:hAnsi="Arial" w:cs="Arial"/>
        </w:rPr>
      </w:pPr>
      <w:r w:rsidRPr="00690F06">
        <w:rPr>
          <w:rFonts w:ascii="Arial" w:hAnsi="Arial" w:cs="Arial"/>
        </w:rPr>
        <w:t>A number of responses indicated that they had recently increased their controls for hazardous azo dyes such as introducing random end product testing or surveying all suppliers to determine how they manage the issue.</w:t>
      </w:r>
    </w:p>
    <w:p w:rsidR="00CB6994" w:rsidRPr="00690F06" w:rsidRDefault="00D53ED2" w:rsidP="00653AF2">
      <w:pPr>
        <w:numPr>
          <w:ilvl w:val="0"/>
          <w:numId w:val="30"/>
        </w:numPr>
        <w:spacing w:before="60" w:after="60"/>
        <w:ind w:left="357" w:hanging="357"/>
        <w:rPr>
          <w:rFonts w:ascii="Arial" w:hAnsi="Arial" w:cs="Arial"/>
        </w:rPr>
      </w:pPr>
      <w:r>
        <w:rPr>
          <w:rFonts w:ascii="Arial" w:hAnsi="Arial" w:cs="Arial"/>
        </w:rPr>
        <w:t>There are</w:t>
      </w:r>
      <w:r w:rsidR="00CB6994" w:rsidRPr="00690F06">
        <w:rPr>
          <w:rFonts w:ascii="Arial" w:hAnsi="Arial" w:cs="Arial"/>
        </w:rPr>
        <w:t xml:space="preserve"> currently insufficient testing </w:t>
      </w:r>
      <w:r>
        <w:rPr>
          <w:rFonts w:ascii="Arial" w:hAnsi="Arial" w:cs="Arial"/>
        </w:rPr>
        <w:t>laboratories</w:t>
      </w:r>
      <w:r w:rsidR="00CB6994" w:rsidRPr="00690F06">
        <w:rPr>
          <w:rFonts w:ascii="Arial" w:hAnsi="Arial" w:cs="Arial"/>
        </w:rPr>
        <w:t xml:space="preserve"> available to conduct testing on all products under the regulatory option.</w:t>
      </w:r>
    </w:p>
    <w:p w:rsidR="00CB6994" w:rsidRPr="00690F06" w:rsidRDefault="00CB6994" w:rsidP="00653AF2">
      <w:pPr>
        <w:numPr>
          <w:ilvl w:val="0"/>
          <w:numId w:val="30"/>
        </w:numPr>
        <w:spacing w:before="60" w:after="60"/>
        <w:ind w:left="357" w:hanging="357"/>
        <w:rPr>
          <w:rFonts w:ascii="Arial" w:hAnsi="Arial" w:cs="Arial"/>
        </w:rPr>
      </w:pPr>
      <w:r w:rsidRPr="00690F06">
        <w:rPr>
          <w:rFonts w:ascii="Arial" w:hAnsi="Arial" w:cs="Arial"/>
        </w:rPr>
        <w:t>The scope of the products captured would be an important determinant in the compliance costs associated with any regulation. For example there was uncertainty whether products like headwear, scarves, bath towels and handbags would be included.</w:t>
      </w:r>
    </w:p>
    <w:p w:rsidR="00CB6994" w:rsidRPr="00690F06" w:rsidRDefault="00CB6994" w:rsidP="00653AF2">
      <w:pPr>
        <w:numPr>
          <w:ilvl w:val="0"/>
          <w:numId w:val="30"/>
        </w:numPr>
        <w:spacing w:before="60" w:after="60"/>
        <w:ind w:left="357" w:hanging="357"/>
        <w:rPr>
          <w:rFonts w:ascii="Arial" w:hAnsi="Arial" w:cs="Arial"/>
        </w:rPr>
      </w:pPr>
      <w:r w:rsidRPr="00690F06">
        <w:rPr>
          <w:rFonts w:ascii="Arial" w:hAnsi="Arial" w:cs="Arial"/>
        </w:rPr>
        <w:t>For Australian retailers the quality assurance or compliance costs are the same for their online</w:t>
      </w:r>
      <w:r w:rsidR="009F1FDF">
        <w:rPr>
          <w:rFonts w:ascii="Arial" w:hAnsi="Arial" w:cs="Arial"/>
        </w:rPr>
        <w:t xml:space="preserve"> and ‘bricks and mortar’</w:t>
      </w:r>
      <w:r w:rsidRPr="00690F06">
        <w:rPr>
          <w:rFonts w:ascii="Arial" w:hAnsi="Arial" w:cs="Arial"/>
        </w:rPr>
        <w:t xml:space="preserve"> businesses</w:t>
      </w:r>
      <w:r w:rsidR="009F1FDF">
        <w:rPr>
          <w:rFonts w:ascii="Arial" w:hAnsi="Arial" w:cs="Arial"/>
        </w:rPr>
        <w:t>.</w:t>
      </w:r>
      <w:r w:rsidRPr="00690F06">
        <w:rPr>
          <w:rFonts w:ascii="Arial" w:hAnsi="Arial" w:cs="Arial"/>
        </w:rPr>
        <w:t xml:space="preserve"> </w:t>
      </w:r>
    </w:p>
    <w:p w:rsidR="00CB6994" w:rsidRDefault="00CB6994" w:rsidP="00653AF2">
      <w:pPr>
        <w:numPr>
          <w:ilvl w:val="0"/>
          <w:numId w:val="30"/>
        </w:numPr>
        <w:spacing w:before="60" w:after="60"/>
        <w:ind w:left="357" w:hanging="357"/>
        <w:rPr>
          <w:rFonts w:ascii="Arial" w:hAnsi="Arial" w:cs="Arial"/>
        </w:rPr>
      </w:pPr>
      <w:r w:rsidRPr="00690F06">
        <w:rPr>
          <w:rFonts w:ascii="Arial" w:hAnsi="Arial" w:cs="Arial"/>
        </w:rPr>
        <w:t xml:space="preserve">Testing finished product is inefficient but </w:t>
      </w:r>
      <w:r w:rsidR="005C377F">
        <w:rPr>
          <w:rFonts w:ascii="Arial" w:hAnsi="Arial" w:cs="Arial"/>
        </w:rPr>
        <w:t xml:space="preserve">may be necessary in the short term </w:t>
      </w:r>
      <w:r w:rsidRPr="00690F06">
        <w:rPr>
          <w:rFonts w:ascii="Arial" w:hAnsi="Arial" w:cs="Arial"/>
        </w:rPr>
        <w:t xml:space="preserve">if regulation </w:t>
      </w:r>
      <w:r w:rsidR="005C377F">
        <w:rPr>
          <w:rFonts w:ascii="Arial" w:hAnsi="Arial" w:cs="Arial"/>
        </w:rPr>
        <w:t>is</w:t>
      </w:r>
      <w:r w:rsidRPr="00690F06">
        <w:rPr>
          <w:rFonts w:ascii="Arial" w:hAnsi="Arial" w:cs="Arial"/>
        </w:rPr>
        <w:t xml:space="preserve"> imposed. In the longer term Australian suppliers will need to better manage their relationships with overseas suppliers and be more involved in product manufacture earlier than they are now.</w:t>
      </w:r>
    </w:p>
    <w:p w:rsidR="0078383B" w:rsidRPr="00690F06" w:rsidRDefault="0078383B" w:rsidP="0078383B">
      <w:pPr>
        <w:spacing w:after="120"/>
        <w:rPr>
          <w:rFonts w:ascii="Arial" w:hAnsi="Arial" w:cs="Arial"/>
        </w:rPr>
      </w:pPr>
      <w:r>
        <w:rPr>
          <w:rFonts w:ascii="Arial" w:hAnsi="Arial" w:cs="Arial"/>
        </w:rPr>
        <w:br w:type="page"/>
      </w:r>
    </w:p>
    <w:p w:rsidR="00EF1EA3" w:rsidRPr="00057880" w:rsidRDefault="00E91CD0" w:rsidP="009278D5">
      <w:pPr>
        <w:pStyle w:val="Heading1"/>
        <w:spacing w:after="240"/>
        <w:ind w:left="2977" w:hanging="2977"/>
        <w:rPr>
          <w:rFonts w:ascii="Lucida Fax" w:hAnsi="Lucida Fax"/>
          <w:b w:val="0"/>
        </w:rPr>
      </w:pPr>
      <w:bookmarkStart w:id="107" w:name="_Toc412196648"/>
      <w:r w:rsidRPr="00057880">
        <w:rPr>
          <w:rFonts w:ascii="Lucida Fax" w:hAnsi="Lucida Fax"/>
          <w:lang w:val="en-AU"/>
        </w:rPr>
        <w:t>Attachment </w:t>
      </w:r>
      <w:r w:rsidR="00EF1EA3" w:rsidRPr="00057880">
        <w:rPr>
          <w:rFonts w:ascii="Lucida Fax" w:hAnsi="Lucida Fax"/>
          <w:lang w:val="en-AU"/>
        </w:rPr>
        <w:t>2</w:t>
      </w:r>
      <w:r w:rsidR="0078383B" w:rsidRPr="00057880">
        <w:rPr>
          <w:rFonts w:ascii="Lucida Fax" w:hAnsi="Lucida Fax"/>
          <w:lang w:val="en-AU"/>
        </w:rPr>
        <w:t>:</w:t>
      </w:r>
      <w:r w:rsidR="0078383B" w:rsidRPr="00057880">
        <w:rPr>
          <w:rFonts w:ascii="Lucida Fax" w:hAnsi="Lucida Fax"/>
          <w:lang w:val="en-AU"/>
        </w:rPr>
        <w:tab/>
      </w:r>
      <w:r w:rsidR="00EF1EA3" w:rsidRPr="00057880">
        <w:rPr>
          <w:rFonts w:ascii="Lucida Fax" w:hAnsi="Lucida Fax"/>
          <w:lang w:val="en-AU"/>
        </w:rPr>
        <w:t>Development of the existing product safety system in Australia</w:t>
      </w:r>
      <w:bookmarkEnd w:id="107"/>
    </w:p>
    <w:p w:rsidR="00EF1EA3" w:rsidRPr="00690F06" w:rsidRDefault="00EF1EA3" w:rsidP="00EF1EA3">
      <w:pPr>
        <w:rPr>
          <w:rFonts w:ascii="Arial" w:hAnsi="Arial" w:cs="Arial"/>
          <w:color w:val="000000"/>
        </w:rPr>
      </w:pPr>
      <w:r w:rsidRPr="00690F06">
        <w:rPr>
          <w:rFonts w:ascii="Arial" w:hAnsi="Arial" w:cs="Arial"/>
          <w:color w:val="000000"/>
        </w:rPr>
        <w:t xml:space="preserve">The government has a longstanding role in consumer safety. From </w:t>
      </w:r>
      <w:r w:rsidR="009F1FDF">
        <w:rPr>
          <w:rFonts w:ascii="Arial" w:hAnsi="Arial" w:cs="Arial"/>
          <w:color w:val="000000"/>
        </w:rPr>
        <w:t xml:space="preserve">its </w:t>
      </w:r>
      <w:r w:rsidRPr="00690F06">
        <w:rPr>
          <w:rFonts w:ascii="Arial" w:hAnsi="Arial" w:cs="Arial"/>
          <w:color w:val="000000"/>
        </w:rPr>
        <w:t xml:space="preserve">inception the </w:t>
      </w:r>
      <w:r w:rsidRPr="00690F06">
        <w:rPr>
          <w:rFonts w:ascii="Arial" w:hAnsi="Arial" w:cs="Arial"/>
          <w:i/>
          <w:color w:val="000000"/>
        </w:rPr>
        <w:t xml:space="preserve">Trade Practices </w:t>
      </w:r>
      <w:r w:rsidR="000B2B96" w:rsidRPr="00690F06">
        <w:rPr>
          <w:rFonts w:ascii="Arial" w:hAnsi="Arial" w:cs="Arial"/>
          <w:i/>
          <w:color w:val="000000"/>
        </w:rPr>
        <w:t>Act</w:t>
      </w:r>
      <w:r w:rsidR="000B2B96">
        <w:rPr>
          <w:rFonts w:ascii="Arial" w:hAnsi="Arial" w:cs="Arial"/>
          <w:i/>
          <w:color w:val="000000"/>
        </w:rPr>
        <w:t> </w:t>
      </w:r>
      <w:r w:rsidRPr="00690F06">
        <w:rPr>
          <w:rFonts w:ascii="Arial" w:hAnsi="Arial" w:cs="Arial"/>
          <w:i/>
          <w:color w:val="000000"/>
        </w:rPr>
        <w:t>1974</w:t>
      </w:r>
      <w:r w:rsidRPr="00690F06">
        <w:rPr>
          <w:rFonts w:ascii="Arial" w:hAnsi="Arial" w:cs="Arial"/>
          <w:color w:val="000000"/>
        </w:rPr>
        <w:t xml:space="preserve"> </w:t>
      </w:r>
      <w:r w:rsidR="009F1FDF">
        <w:rPr>
          <w:rFonts w:ascii="Arial" w:hAnsi="Arial" w:cs="Arial"/>
          <w:color w:val="000000"/>
        </w:rPr>
        <w:t xml:space="preserve">(TPA) </w:t>
      </w:r>
      <w:r w:rsidRPr="00690F06">
        <w:rPr>
          <w:rFonts w:ascii="Arial" w:hAnsi="Arial" w:cs="Arial"/>
          <w:color w:val="000000"/>
        </w:rPr>
        <w:t xml:space="preserve">had provisions for product standards and bans to be made. </w:t>
      </w:r>
      <w:r w:rsidR="000B2B96" w:rsidRPr="00690F06">
        <w:rPr>
          <w:rFonts w:ascii="Arial" w:hAnsi="Arial" w:cs="Arial"/>
          <w:color w:val="000000"/>
        </w:rPr>
        <w:t>In</w:t>
      </w:r>
      <w:r w:rsidR="000B2B96">
        <w:rPr>
          <w:rFonts w:ascii="Arial" w:hAnsi="Arial" w:cs="Arial"/>
          <w:color w:val="000000"/>
        </w:rPr>
        <w:t> </w:t>
      </w:r>
      <w:r w:rsidRPr="00690F06">
        <w:rPr>
          <w:rFonts w:ascii="Arial" w:hAnsi="Arial" w:cs="Arial"/>
          <w:color w:val="000000"/>
        </w:rPr>
        <w:t xml:space="preserve">1992 the government established a broad general product safety framework when a </w:t>
      </w:r>
      <w:r w:rsidRPr="00690F06">
        <w:rPr>
          <w:rFonts w:ascii="Arial" w:hAnsi="Arial" w:cs="Arial"/>
          <w:color w:val="000000"/>
          <w:lang w:eastAsia="en-AU"/>
        </w:rPr>
        <w:t>regime of strict liability was introduced. This regime gave consumers who were injured or suffered property damage as a result of a defective product a right to compensation without the need to prove negligence on the part of the manufacturer.</w:t>
      </w:r>
      <w:r w:rsidRPr="00690F06">
        <w:rPr>
          <w:rStyle w:val="FootnoteReference"/>
          <w:rFonts w:ascii="Arial" w:hAnsi="Arial" w:cs="Arial"/>
          <w:color w:val="000000"/>
          <w:lang w:eastAsia="en-AU"/>
        </w:rPr>
        <w:footnoteReference w:id="58"/>
      </w:r>
      <w:r w:rsidRPr="00690F06">
        <w:rPr>
          <w:rFonts w:ascii="Arial" w:hAnsi="Arial" w:cs="Arial"/>
          <w:color w:val="000000"/>
          <w:lang w:eastAsia="en-AU"/>
        </w:rPr>
        <w:t xml:space="preserve"> The regime provided that goods were ‘defective’ if they did not have the degree of safety which persons generally are entitled to expect in all circumstances.</w:t>
      </w:r>
      <w:r w:rsidRPr="00690F06">
        <w:rPr>
          <w:rStyle w:val="FootnoteReference"/>
          <w:rFonts w:ascii="Arial" w:hAnsi="Arial" w:cs="Arial"/>
          <w:color w:val="000000"/>
          <w:lang w:eastAsia="en-AU"/>
        </w:rPr>
        <w:footnoteReference w:id="59"/>
      </w:r>
      <w:r w:rsidRPr="00690F06">
        <w:rPr>
          <w:rFonts w:ascii="Arial" w:hAnsi="Arial" w:cs="Arial"/>
          <w:color w:val="000000"/>
          <w:lang w:eastAsia="en-AU"/>
        </w:rPr>
        <w:t xml:space="preserve"> It was asserted that these provisions becoming law would be beneficial for the whole community and expectations were for any increased business cost to be almost imperceptible in the initial years and then very gradual after that.</w:t>
      </w:r>
      <w:r w:rsidRPr="00690F06">
        <w:rPr>
          <w:rStyle w:val="FootnoteReference"/>
          <w:rFonts w:ascii="Arial" w:hAnsi="Arial" w:cs="Arial"/>
          <w:color w:val="000000"/>
          <w:lang w:eastAsia="en-AU"/>
        </w:rPr>
        <w:footnoteReference w:id="60"/>
      </w:r>
      <w:r w:rsidRPr="00690F06">
        <w:rPr>
          <w:rFonts w:ascii="Arial" w:hAnsi="Arial" w:cs="Arial"/>
          <w:color w:val="000000"/>
          <w:lang w:eastAsia="en-AU"/>
        </w:rPr>
        <w:t xml:space="preserve"> These provisions became known as the defective goods regime.</w:t>
      </w:r>
    </w:p>
    <w:p w:rsidR="00EF1EA3" w:rsidRPr="00690F06" w:rsidRDefault="00EF1EA3" w:rsidP="00EF1EA3">
      <w:pPr>
        <w:tabs>
          <w:tab w:val="left" w:pos="1540"/>
        </w:tabs>
        <w:rPr>
          <w:rFonts w:ascii="Arial" w:hAnsi="Arial" w:cs="Arial"/>
          <w:color w:val="000000"/>
        </w:rPr>
      </w:pPr>
      <w:r w:rsidRPr="00690F06">
        <w:rPr>
          <w:rFonts w:ascii="Arial" w:hAnsi="Arial" w:cs="Arial"/>
          <w:color w:val="000000"/>
        </w:rPr>
        <w:tab/>
      </w:r>
    </w:p>
    <w:p w:rsidR="00EF1EA3" w:rsidRPr="00690F06" w:rsidRDefault="00EF1EA3" w:rsidP="00EF1EA3">
      <w:pPr>
        <w:autoSpaceDE w:val="0"/>
        <w:autoSpaceDN w:val="0"/>
        <w:adjustRightInd w:val="0"/>
        <w:rPr>
          <w:rFonts w:ascii="Arial" w:hAnsi="Arial" w:cs="Arial"/>
          <w:lang w:eastAsia="en-AU"/>
        </w:rPr>
      </w:pPr>
      <w:r w:rsidRPr="00690F06">
        <w:rPr>
          <w:rFonts w:ascii="Arial" w:hAnsi="Arial" w:cs="Arial"/>
          <w:color w:val="000000"/>
        </w:rPr>
        <w:t xml:space="preserve">Governments in Australia continue to play an important role in consumer safety. </w:t>
      </w:r>
      <w:r w:rsidRPr="00690F06">
        <w:rPr>
          <w:rFonts w:ascii="Arial" w:hAnsi="Arial" w:cs="Arial"/>
          <w:lang w:eastAsia="en-AU"/>
        </w:rPr>
        <w:t>Consumer Affairs Australia New Zealand (formerly the Standing Committee of Officials of Consumer Affairs) has previously considered what improvements were needed for product safety. It was noted at the time that Australia’s product safety system reacted to injury rather than anticipating it, and for this reason various approaches to improving the ‘proactive’ nature of the system were examined.</w:t>
      </w:r>
      <w:r w:rsidRPr="00690F06">
        <w:rPr>
          <w:rStyle w:val="FootnoteReference"/>
          <w:rFonts w:ascii="Arial" w:hAnsi="Arial" w:cs="Arial"/>
          <w:lang w:eastAsia="en-AU"/>
        </w:rPr>
        <w:footnoteReference w:id="61"/>
      </w:r>
      <w:r w:rsidRPr="00690F06">
        <w:rPr>
          <w:rFonts w:ascii="Arial" w:hAnsi="Arial" w:cs="Arial"/>
          <w:lang w:eastAsia="en-AU"/>
        </w:rPr>
        <w:t xml:space="preserve"> It was considered that a proactive system involves regulators being able to identify safety hazards before consumers suffer harm, with responsible businesses thinking sufficiently about safety issues in product design and consumers better understanding the risks involved before using a product.</w:t>
      </w:r>
      <w:r w:rsidRPr="00690F06">
        <w:rPr>
          <w:rStyle w:val="FootnoteReference"/>
          <w:rFonts w:ascii="Arial" w:hAnsi="Arial" w:cs="Arial"/>
          <w:lang w:eastAsia="en-AU"/>
        </w:rPr>
        <w:footnoteReference w:id="62"/>
      </w:r>
      <w:r w:rsidRPr="00690F06">
        <w:rPr>
          <w:rFonts w:ascii="Arial" w:hAnsi="Arial" w:cs="Arial"/>
          <w:lang w:eastAsia="en-AU"/>
        </w:rPr>
        <w:t xml:space="preserve"> A range of enhancements were contemplated; including revising the definition of unsafe goods, introducing mandatory reporting obligations upon businesses, broadening the scope of regulation to cover foreseeable misuse of consumer goods and ensuring regulators have better data.</w:t>
      </w:r>
      <w:r w:rsidRPr="00690F06">
        <w:rPr>
          <w:rStyle w:val="FootnoteReference"/>
          <w:rFonts w:ascii="Arial" w:hAnsi="Arial" w:cs="Arial"/>
          <w:lang w:eastAsia="en-AU"/>
        </w:rPr>
        <w:footnoteReference w:id="63"/>
      </w:r>
      <w:r w:rsidRPr="00690F06">
        <w:rPr>
          <w:rFonts w:ascii="Arial" w:hAnsi="Arial" w:cs="Arial"/>
          <w:lang w:eastAsia="en-AU"/>
        </w:rPr>
        <w:t xml:space="preserve"> </w:t>
      </w:r>
    </w:p>
    <w:p w:rsidR="00EF1EA3" w:rsidRPr="00690F06" w:rsidRDefault="00EF1EA3" w:rsidP="00EF1EA3">
      <w:pPr>
        <w:autoSpaceDE w:val="0"/>
        <w:autoSpaceDN w:val="0"/>
        <w:adjustRightInd w:val="0"/>
        <w:rPr>
          <w:rFonts w:ascii="Arial" w:hAnsi="Arial" w:cs="Arial"/>
          <w:lang w:eastAsia="en-AU"/>
        </w:rPr>
      </w:pPr>
    </w:p>
    <w:p w:rsidR="00EF1EA3" w:rsidRPr="00690F06" w:rsidRDefault="00EF1EA3" w:rsidP="00EF1EA3">
      <w:pPr>
        <w:autoSpaceDE w:val="0"/>
        <w:autoSpaceDN w:val="0"/>
        <w:adjustRightInd w:val="0"/>
        <w:rPr>
          <w:rFonts w:ascii="Arial" w:hAnsi="Arial" w:cs="Arial"/>
          <w:color w:val="000000"/>
        </w:rPr>
      </w:pPr>
      <w:r w:rsidRPr="00690F06">
        <w:rPr>
          <w:rFonts w:ascii="Arial" w:hAnsi="Arial" w:cs="Arial"/>
          <w:lang w:eastAsia="en-AU"/>
        </w:rPr>
        <w:t xml:space="preserve">Some of these issues were further considered by the </w:t>
      </w:r>
      <w:r w:rsidRPr="00690F06">
        <w:rPr>
          <w:rFonts w:ascii="Arial" w:hAnsi="Arial" w:cs="Arial"/>
          <w:color w:val="000000"/>
        </w:rPr>
        <w:t xml:space="preserve">Productivity Commission, including the case for a </w:t>
      </w:r>
      <w:r w:rsidRPr="00690F06">
        <w:rPr>
          <w:rFonts w:ascii="Arial" w:hAnsi="Arial" w:cs="Arial"/>
          <w:i/>
          <w:color w:val="000000"/>
        </w:rPr>
        <w:t>general safety provision</w:t>
      </w:r>
      <w:r w:rsidRPr="00690F06">
        <w:rPr>
          <w:rFonts w:ascii="Arial" w:hAnsi="Arial" w:cs="Arial"/>
          <w:color w:val="000000"/>
        </w:rPr>
        <w:t>.</w:t>
      </w:r>
      <w:r w:rsidRPr="00690F06">
        <w:rPr>
          <w:rStyle w:val="FootnoteReference"/>
          <w:rFonts w:ascii="Arial" w:hAnsi="Arial" w:cs="Arial"/>
          <w:color w:val="000000"/>
        </w:rPr>
        <w:footnoteReference w:id="64"/>
      </w:r>
      <w:r w:rsidRPr="00690F06">
        <w:rPr>
          <w:rFonts w:ascii="Arial" w:hAnsi="Arial" w:cs="Arial"/>
          <w:color w:val="000000"/>
        </w:rPr>
        <w:t xml:space="preserve"> Such provisions exist in some other jurisdictions and they can include an offence provision. In discussion the Productivity Commission considered that whil</w:t>
      </w:r>
      <w:r w:rsidR="00E32B6F">
        <w:rPr>
          <w:rFonts w:ascii="Arial" w:hAnsi="Arial" w:cs="Arial"/>
          <w:color w:val="000000"/>
        </w:rPr>
        <w:t>e</w:t>
      </w:r>
      <w:r w:rsidRPr="00690F06">
        <w:rPr>
          <w:rFonts w:ascii="Arial" w:hAnsi="Arial" w:cs="Arial"/>
          <w:color w:val="000000"/>
        </w:rPr>
        <w:t xml:space="preserve"> such a provision </w:t>
      </w:r>
      <w:r w:rsidRPr="00690F06">
        <w:rPr>
          <w:rFonts w:ascii="Arial" w:hAnsi="Arial" w:cs="Arial"/>
          <w:lang w:eastAsia="en-AU"/>
        </w:rPr>
        <w:t>is intended to make producers more proactive, strict product liability rules should already have this effect.</w:t>
      </w:r>
      <w:r w:rsidRPr="00690F06">
        <w:rPr>
          <w:rStyle w:val="FootnoteReference"/>
          <w:rFonts w:ascii="Arial" w:hAnsi="Arial" w:cs="Arial"/>
          <w:lang w:eastAsia="en-AU"/>
        </w:rPr>
        <w:footnoteReference w:id="65"/>
      </w:r>
      <w:r w:rsidRPr="00690F06">
        <w:rPr>
          <w:rFonts w:ascii="Arial" w:hAnsi="Arial" w:cs="Arial"/>
          <w:lang w:eastAsia="en-AU"/>
        </w:rPr>
        <w:t xml:space="preserve"> In </w:t>
      </w:r>
      <w:r w:rsidR="000B2B96" w:rsidRPr="00690F06">
        <w:rPr>
          <w:rFonts w:ascii="Arial" w:hAnsi="Arial" w:cs="Arial"/>
          <w:lang w:eastAsia="en-AU"/>
        </w:rPr>
        <w:t>December</w:t>
      </w:r>
      <w:r w:rsidR="000B2B96">
        <w:rPr>
          <w:rFonts w:ascii="Arial" w:hAnsi="Arial" w:cs="Arial"/>
          <w:lang w:eastAsia="en-AU"/>
        </w:rPr>
        <w:t> </w:t>
      </w:r>
      <w:r w:rsidRPr="00690F06">
        <w:rPr>
          <w:rFonts w:ascii="Arial" w:hAnsi="Arial" w:cs="Arial"/>
          <w:lang w:eastAsia="en-AU"/>
        </w:rPr>
        <w:t>2009 the COAG Legislative and Governance Forum on Consumer Affairs (formerly the Ministerial Council on Consumer Affairs) agreed to further specific product safety measures to be incorporated into the ACL, to enable governments to act more proactively on consumer safety.</w:t>
      </w:r>
      <w:r w:rsidRPr="00690F06">
        <w:rPr>
          <w:rStyle w:val="FootnoteReference"/>
          <w:rFonts w:ascii="Arial" w:hAnsi="Arial" w:cs="Arial"/>
          <w:lang w:eastAsia="en-AU"/>
        </w:rPr>
        <w:footnoteReference w:id="66"/>
      </w:r>
    </w:p>
    <w:p w:rsidR="00EF1EA3" w:rsidRPr="00690F06" w:rsidRDefault="00EF1EA3" w:rsidP="00EF1EA3">
      <w:pPr>
        <w:autoSpaceDE w:val="0"/>
        <w:autoSpaceDN w:val="0"/>
        <w:adjustRightInd w:val="0"/>
        <w:rPr>
          <w:rFonts w:ascii="Arial" w:hAnsi="Arial" w:cs="Arial"/>
          <w:color w:val="000000"/>
        </w:rPr>
      </w:pPr>
    </w:p>
    <w:p w:rsidR="00F23314" w:rsidRDefault="00F23314" w:rsidP="00F23314">
      <w:pPr>
        <w:autoSpaceDE w:val="0"/>
        <w:autoSpaceDN w:val="0"/>
        <w:adjustRightInd w:val="0"/>
        <w:rPr>
          <w:rFonts w:ascii="Arial" w:hAnsi="Arial" w:cs="Arial"/>
          <w:lang w:eastAsia="en-AU"/>
        </w:rPr>
      </w:pPr>
      <w:r>
        <w:rPr>
          <w:rFonts w:ascii="Arial" w:hAnsi="Arial" w:cs="Arial"/>
          <w:lang w:eastAsia="en-AU"/>
        </w:rPr>
        <w:t xml:space="preserve">As a result, the Building a Better Product Safety System project was developed by the ACCC in 2009. The project resulted in many changes to the way product safety was </w:t>
      </w:r>
      <w:r>
        <w:rPr>
          <w:rFonts w:ascii="Arial" w:hAnsi="Arial" w:cs="Arial"/>
          <w:lang w:eastAsia="en-AU"/>
        </w:rPr>
        <w:lastRenderedPageBreak/>
        <w:t>managed in Australia and prepared the way for changes to the T</w:t>
      </w:r>
      <w:r w:rsidR="009F1FDF">
        <w:rPr>
          <w:rFonts w:ascii="Arial" w:hAnsi="Arial" w:cs="Arial"/>
          <w:lang w:eastAsia="en-AU"/>
        </w:rPr>
        <w:t>PA</w:t>
      </w:r>
      <w:r>
        <w:rPr>
          <w:rFonts w:ascii="Arial" w:hAnsi="Arial" w:cs="Arial"/>
          <w:lang w:eastAsia="en-AU"/>
        </w:rPr>
        <w:t xml:space="preserve"> and the introduction of the ACL. The project resulted in the harmonisation of existing state/territory and Commonwealth mandatory standards and bans, a national compliance approach with a single law and multiple regulators (both state/territory and Commonwealth) and an increased awareness and focus on chemicals in consumer products. </w:t>
      </w:r>
    </w:p>
    <w:p w:rsidR="00F23314" w:rsidRPr="00690F06" w:rsidRDefault="00F23314" w:rsidP="00F23314">
      <w:pPr>
        <w:autoSpaceDE w:val="0"/>
        <w:autoSpaceDN w:val="0"/>
        <w:adjustRightInd w:val="0"/>
        <w:rPr>
          <w:rFonts w:ascii="Arial" w:hAnsi="Arial" w:cs="Arial"/>
          <w:color w:val="000000"/>
        </w:rPr>
      </w:pPr>
    </w:p>
    <w:p w:rsidR="00EF1EA3" w:rsidRPr="00690F06" w:rsidRDefault="00EF1EA3" w:rsidP="00EF1EA3">
      <w:pPr>
        <w:autoSpaceDE w:val="0"/>
        <w:autoSpaceDN w:val="0"/>
        <w:adjustRightInd w:val="0"/>
        <w:rPr>
          <w:rFonts w:ascii="Arial" w:hAnsi="Arial" w:cs="Arial"/>
          <w:color w:val="000000"/>
          <w:lang w:eastAsia="en-AU"/>
        </w:rPr>
      </w:pPr>
      <w:r w:rsidRPr="00690F06">
        <w:rPr>
          <w:rFonts w:ascii="Arial" w:hAnsi="Arial" w:cs="Arial"/>
          <w:color w:val="000000"/>
        </w:rPr>
        <w:t xml:space="preserve">The ACL took effect on </w:t>
      </w:r>
      <w:r w:rsidR="000B2B96" w:rsidRPr="00690F06">
        <w:rPr>
          <w:rFonts w:ascii="Arial" w:hAnsi="Arial" w:cs="Arial"/>
          <w:color w:val="000000"/>
        </w:rPr>
        <w:t>1</w:t>
      </w:r>
      <w:r w:rsidR="000B2B96">
        <w:rPr>
          <w:rFonts w:ascii="Arial" w:hAnsi="Arial" w:cs="Arial"/>
          <w:color w:val="000000"/>
        </w:rPr>
        <w:t> </w:t>
      </w:r>
      <w:r w:rsidR="000B2B96" w:rsidRPr="00690F06">
        <w:rPr>
          <w:rFonts w:ascii="Arial" w:hAnsi="Arial" w:cs="Arial"/>
          <w:color w:val="000000"/>
        </w:rPr>
        <w:t>January</w:t>
      </w:r>
      <w:r w:rsidR="000B2B96">
        <w:rPr>
          <w:rFonts w:ascii="Arial" w:hAnsi="Arial" w:cs="Arial"/>
          <w:color w:val="000000"/>
        </w:rPr>
        <w:t> </w:t>
      </w:r>
      <w:r w:rsidRPr="00690F06">
        <w:rPr>
          <w:rFonts w:ascii="Arial" w:hAnsi="Arial" w:cs="Arial"/>
          <w:color w:val="000000"/>
        </w:rPr>
        <w:t xml:space="preserve">2011. As well as including the </w:t>
      </w:r>
      <w:r w:rsidRPr="00690F06">
        <w:rPr>
          <w:rFonts w:ascii="Arial" w:hAnsi="Arial" w:cs="Arial"/>
          <w:i/>
          <w:color w:val="000000"/>
        </w:rPr>
        <w:t>defective goods regime</w:t>
      </w:r>
      <w:r w:rsidRPr="00690F06">
        <w:rPr>
          <w:rFonts w:ascii="Arial" w:hAnsi="Arial" w:cs="Arial"/>
          <w:color w:val="000000"/>
        </w:rPr>
        <w:t xml:space="preserve"> there was a deliberate strengthening of the product safety provisions.</w:t>
      </w:r>
      <w:r>
        <w:rPr>
          <w:rFonts w:ascii="Arial" w:hAnsi="Arial" w:cs="Arial"/>
          <w:color w:val="000000"/>
        </w:rPr>
        <w:t xml:space="preserve"> </w:t>
      </w:r>
      <w:r w:rsidRPr="00690F06">
        <w:rPr>
          <w:rFonts w:ascii="Arial" w:hAnsi="Arial" w:cs="Arial"/>
          <w:color w:val="000000"/>
        </w:rPr>
        <w:t xml:space="preserve">The ACL also introduced a number of general provisions intended to ensure businesses supply safe consumer goods. These include statutory guarantees to consumers that goods are of </w:t>
      </w:r>
      <w:r w:rsidRPr="00690F06">
        <w:rPr>
          <w:rFonts w:ascii="Arial" w:hAnsi="Arial" w:cs="Arial"/>
          <w:i/>
          <w:color w:val="000000"/>
        </w:rPr>
        <w:t xml:space="preserve">acceptable quality </w:t>
      </w:r>
      <w:r w:rsidRPr="00690F06">
        <w:rPr>
          <w:rFonts w:ascii="Arial" w:hAnsi="Arial" w:cs="Arial"/>
          <w:color w:val="000000"/>
        </w:rPr>
        <w:t>as defined in the ACL, a notable shift from the former</w:t>
      </w:r>
      <w:r w:rsidRPr="00690F06">
        <w:rPr>
          <w:rFonts w:ascii="Arial" w:hAnsi="Arial" w:cs="Arial"/>
          <w:lang w:eastAsia="en-AU"/>
        </w:rPr>
        <w:t xml:space="preserve"> law</w:t>
      </w:r>
      <w:r w:rsidRPr="00690F06">
        <w:rPr>
          <w:rStyle w:val="FootnoteReference"/>
          <w:rFonts w:ascii="Arial" w:hAnsi="Arial" w:cs="Arial"/>
          <w:lang w:eastAsia="en-AU"/>
        </w:rPr>
        <w:footnoteReference w:id="67"/>
      </w:r>
      <w:r w:rsidRPr="00690F06">
        <w:rPr>
          <w:rFonts w:ascii="Arial" w:hAnsi="Arial" w:cs="Arial"/>
          <w:color w:val="000000"/>
        </w:rPr>
        <w:t xml:space="preserve">. The guarantees extend to all products being safe, durable, </w:t>
      </w:r>
      <w:proofErr w:type="gramStart"/>
      <w:r w:rsidRPr="00690F06">
        <w:rPr>
          <w:rFonts w:ascii="Arial" w:hAnsi="Arial" w:cs="Arial"/>
          <w:color w:val="000000"/>
        </w:rPr>
        <w:t>free</w:t>
      </w:r>
      <w:proofErr w:type="gramEnd"/>
      <w:r w:rsidRPr="00690F06">
        <w:rPr>
          <w:rFonts w:ascii="Arial" w:hAnsi="Arial" w:cs="Arial"/>
          <w:color w:val="000000"/>
        </w:rPr>
        <w:t xml:space="preserve"> from defects, fit for purpose, acceptable in appearance, match their description and match any sample or demonstration model.</w:t>
      </w:r>
      <w:r w:rsidRPr="00690F06">
        <w:rPr>
          <w:rStyle w:val="FootnoteReference"/>
          <w:rFonts w:ascii="Arial" w:hAnsi="Arial" w:cs="Arial"/>
          <w:color w:val="000000"/>
        </w:rPr>
        <w:footnoteReference w:id="68"/>
      </w:r>
      <w:r w:rsidRPr="00690F06">
        <w:rPr>
          <w:rFonts w:ascii="Arial" w:hAnsi="Arial" w:cs="Arial"/>
          <w:color w:val="000000"/>
        </w:rPr>
        <w:t xml:space="preserve"> A failure to comply with a guarantee is a major failure when goods are unsafe. Whil</w:t>
      </w:r>
      <w:r w:rsidR="00E32B6F">
        <w:rPr>
          <w:rFonts w:ascii="Arial" w:hAnsi="Arial" w:cs="Arial"/>
          <w:color w:val="000000"/>
        </w:rPr>
        <w:t>e</w:t>
      </w:r>
      <w:r w:rsidRPr="00690F06">
        <w:rPr>
          <w:rFonts w:ascii="Arial" w:hAnsi="Arial" w:cs="Arial"/>
          <w:color w:val="000000"/>
        </w:rPr>
        <w:t xml:space="preserve"> c</w:t>
      </w:r>
      <w:r w:rsidRPr="00690F06">
        <w:rPr>
          <w:rFonts w:ascii="Arial" w:hAnsi="Arial" w:cs="Arial"/>
          <w:color w:val="000000"/>
          <w:lang w:eastAsia="en-AU"/>
        </w:rPr>
        <w:t>onsumer guarantees provide rights that accompany the purchase of goods or services, any failure to comply with a guarantee generally gives rise to specific remedies provided for in the ACL and it is generally not treated as a contravention of the ACL.</w:t>
      </w:r>
      <w:r w:rsidRPr="00690F06">
        <w:rPr>
          <w:rStyle w:val="FootnoteReference"/>
          <w:rFonts w:ascii="Arial" w:hAnsi="Arial" w:cs="Arial"/>
          <w:color w:val="000000"/>
          <w:lang w:eastAsia="en-AU"/>
        </w:rPr>
        <w:footnoteReference w:id="69"/>
      </w:r>
    </w:p>
    <w:p w:rsidR="00EF1EA3" w:rsidRPr="00690F06" w:rsidRDefault="00EF1EA3" w:rsidP="00EF1EA3">
      <w:pPr>
        <w:autoSpaceDE w:val="0"/>
        <w:autoSpaceDN w:val="0"/>
        <w:adjustRightInd w:val="0"/>
        <w:rPr>
          <w:rFonts w:ascii="Arial" w:hAnsi="Arial" w:cs="Arial"/>
          <w:color w:val="000000"/>
        </w:rPr>
      </w:pPr>
    </w:p>
    <w:p w:rsidR="00EF1EA3" w:rsidRPr="00690F06" w:rsidRDefault="00EF1EA3" w:rsidP="00EF1EA3">
      <w:pPr>
        <w:rPr>
          <w:rFonts w:ascii="Arial" w:eastAsia="Times New Roman" w:hAnsi="Arial" w:cs="Arial"/>
          <w:color w:val="000000"/>
          <w:lang w:eastAsia="en-AU"/>
        </w:rPr>
      </w:pPr>
      <w:r w:rsidRPr="00690F06">
        <w:rPr>
          <w:rFonts w:ascii="Arial" w:hAnsi="Arial" w:cs="Arial"/>
          <w:color w:val="000000"/>
        </w:rPr>
        <w:t xml:space="preserve">Even before specific controls were introduced, the legal system has a long history in guiding acceptable conduct by businesses. </w:t>
      </w:r>
      <w:r w:rsidRPr="00690F06">
        <w:rPr>
          <w:rFonts w:ascii="Arial" w:eastAsia="Times New Roman" w:hAnsi="Arial" w:cs="Arial"/>
          <w:color w:val="000000"/>
          <w:lang w:eastAsia="en-AU"/>
        </w:rPr>
        <w:t xml:space="preserve">The body of decisions developed over hundreds of years by different judges is called the common law. It is basically the collected principles of law extracted from all the decisions handed down in the senior courts of England, Australia and other countries that share our type of legal system. There are a number of precedents entrenched in common law relevant to the supply of safe direct and prolonged contact articles. </w:t>
      </w:r>
    </w:p>
    <w:p w:rsidR="00EF1EA3" w:rsidRPr="00690F06" w:rsidRDefault="00EF1EA3" w:rsidP="00EF1EA3">
      <w:pPr>
        <w:jc w:val="both"/>
        <w:rPr>
          <w:rFonts w:ascii="Arial" w:eastAsia="Times New Roman" w:hAnsi="Arial" w:cs="Arial"/>
          <w:color w:val="000000"/>
          <w:lang w:eastAsia="en-AU"/>
        </w:rPr>
      </w:pPr>
    </w:p>
    <w:p w:rsidR="00EF1EA3" w:rsidRPr="00690F06" w:rsidRDefault="00104A48" w:rsidP="00EF1EA3">
      <w:pPr>
        <w:spacing w:after="240"/>
        <w:rPr>
          <w:rFonts w:ascii="Arial" w:hAnsi="Arial" w:cs="Arial"/>
        </w:rPr>
      </w:pPr>
      <w:r w:rsidRPr="00690F06">
        <w:rPr>
          <w:rFonts w:ascii="Arial" w:eastAsia="Times New Roman" w:hAnsi="Arial" w:cs="Arial"/>
          <w:color w:val="000000"/>
          <w:lang w:eastAsia="en-AU"/>
        </w:rPr>
        <w:t>In</w:t>
      </w:r>
      <w:r>
        <w:rPr>
          <w:rFonts w:ascii="Arial" w:eastAsia="Times New Roman" w:hAnsi="Arial" w:cs="Arial"/>
          <w:color w:val="000000"/>
          <w:lang w:eastAsia="en-AU"/>
        </w:rPr>
        <w:t> </w:t>
      </w:r>
      <w:r w:rsidR="00EF1EA3" w:rsidRPr="00690F06">
        <w:rPr>
          <w:rFonts w:ascii="Arial" w:eastAsia="Times New Roman" w:hAnsi="Arial" w:cs="Arial"/>
          <w:color w:val="000000"/>
          <w:lang w:eastAsia="en-AU"/>
        </w:rPr>
        <w:t xml:space="preserve">1932 the </w:t>
      </w:r>
      <w:r w:rsidR="00EF1EA3" w:rsidRPr="00690F06">
        <w:rPr>
          <w:rFonts w:ascii="Arial" w:eastAsia="Times New Roman" w:hAnsi="Arial" w:cs="Arial"/>
          <w:i/>
          <w:color w:val="000000"/>
          <w:lang w:eastAsia="en-AU"/>
        </w:rPr>
        <w:t>Donoghue v Stevenson</w:t>
      </w:r>
      <w:r w:rsidR="00EF1EA3" w:rsidRPr="00690F06">
        <w:rPr>
          <w:rFonts w:ascii="Arial" w:eastAsia="Times New Roman" w:hAnsi="Arial" w:cs="Arial"/>
          <w:color w:val="000000"/>
          <w:lang w:eastAsia="en-AU"/>
        </w:rPr>
        <w:t xml:space="preserve"> case created the modern concept of negligence when </w:t>
      </w:r>
      <w:r w:rsidR="00623744">
        <w:rPr>
          <w:rFonts w:ascii="Arial" w:eastAsia="Times New Roman" w:hAnsi="Arial" w:cs="Arial"/>
          <w:color w:val="000000"/>
          <w:lang w:eastAsia="en-AU"/>
        </w:rPr>
        <w:t>t</w:t>
      </w:r>
      <w:r w:rsidR="00EF1EA3" w:rsidRPr="00690F06">
        <w:rPr>
          <w:rFonts w:ascii="Arial" w:eastAsia="Times New Roman" w:hAnsi="Arial" w:cs="Arial"/>
          <w:color w:val="000000"/>
          <w:lang w:eastAsia="en-AU"/>
        </w:rPr>
        <w:t xml:space="preserve">he House of Lords found that the manufacturer of a bottle of ginger beer breached its duty of care to a consumer who became sick after finding a decomposed snail in the bottle. An Australian case </w:t>
      </w:r>
      <w:r w:rsidRPr="00690F06">
        <w:rPr>
          <w:rFonts w:ascii="Arial" w:eastAsia="Times New Roman" w:hAnsi="Arial" w:cs="Arial"/>
          <w:color w:val="000000"/>
          <w:lang w:eastAsia="en-AU"/>
        </w:rPr>
        <w:t>in</w:t>
      </w:r>
      <w:r>
        <w:rPr>
          <w:rFonts w:ascii="Arial" w:eastAsia="Times New Roman" w:hAnsi="Arial" w:cs="Arial"/>
          <w:color w:val="000000"/>
          <w:lang w:eastAsia="en-AU"/>
        </w:rPr>
        <w:t> </w:t>
      </w:r>
      <w:r w:rsidR="00EF1EA3" w:rsidRPr="00690F06">
        <w:rPr>
          <w:rFonts w:ascii="Arial" w:eastAsia="Times New Roman" w:hAnsi="Arial" w:cs="Arial"/>
          <w:color w:val="000000"/>
          <w:lang w:eastAsia="en-AU"/>
        </w:rPr>
        <w:t xml:space="preserve">1936, </w:t>
      </w:r>
      <w:r w:rsidR="00EF1EA3" w:rsidRPr="00690F06">
        <w:rPr>
          <w:rFonts w:ascii="Arial" w:eastAsia="Times New Roman" w:hAnsi="Arial" w:cs="Arial"/>
          <w:i/>
          <w:color w:val="000000"/>
          <w:lang w:eastAsia="en-AU"/>
        </w:rPr>
        <w:t>Grant v Australian Knitting Mills Ltd</w:t>
      </w:r>
      <w:r w:rsidR="00EF1EA3" w:rsidRPr="00690F06">
        <w:rPr>
          <w:rFonts w:ascii="Arial" w:eastAsia="Times New Roman" w:hAnsi="Arial" w:cs="Arial"/>
          <w:color w:val="000000"/>
          <w:lang w:eastAsia="en-AU"/>
        </w:rPr>
        <w:t xml:space="preserve">, related to a defective undergarment purchased from a retailer. The undergarment contained excess sulphite and the consumer contracted dermatitis which resulted in hospitalisation. The manufacturer was found to be negligent in leaving excess sulphites in the garment. Even in the absence of product specific mandatory standards, the supply of unsafe </w:t>
      </w:r>
      <w:r w:rsidR="00EF1EA3" w:rsidRPr="00690F06">
        <w:rPr>
          <w:rFonts w:ascii="Arial" w:hAnsi="Arial" w:cs="Arial"/>
        </w:rPr>
        <w:t xml:space="preserve">goods in Australia is unacceptable, and has been since early last century. </w:t>
      </w:r>
    </w:p>
    <w:p w:rsidR="00EF1EA3" w:rsidRPr="00690F06" w:rsidRDefault="00EF1EA3" w:rsidP="00EF1EA3">
      <w:pPr>
        <w:autoSpaceDE w:val="0"/>
        <w:autoSpaceDN w:val="0"/>
        <w:adjustRightInd w:val="0"/>
        <w:rPr>
          <w:rFonts w:ascii="Arial" w:hAnsi="Arial" w:cs="Arial"/>
          <w:color w:val="000000"/>
        </w:rPr>
      </w:pPr>
      <w:r w:rsidRPr="00690F06">
        <w:rPr>
          <w:rFonts w:ascii="Arial" w:hAnsi="Arial" w:cs="Arial"/>
        </w:rPr>
        <w:t>The recent survey suggests underinvestment in product stewardship has occurred.</w:t>
      </w:r>
      <w:r w:rsidRPr="00690F06">
        <w:rPr>
          <w:rFonts w:ascii="Arial" w:hAnsi="Arial" w:cs="Arial"/>
          <w:color w:val="000000"/>
        </w:rPr>
        <w:t xml:space="preserve"> This draft RIS therefore considers options to better ensure that this existing obligation is met and additional controls that can be considered. The RIS also seeks to clarify how much additional controls may add to existing compliance costs.</w:t>
      </w:r>
    </w:p>
    <w:p w:rsidR="005C15F3" w:rsidRPr="00B75AB3" w:rsidRDefault="00EF1EA3" w:rsidP="005C15F3">
      <w:pPr>
        <w:pStyle w:val="Heading1"/>
        <w:spacing w:before="120"/>
        <w:ind w:left="2977" w:hanging="2977"/>
        <w:rPr>
          <w:rFonts w:ascii="Lucida Fax" w:hAnsi="Lucida Fax"/>
          <w:lang w:val="en-AU"/>
        </w:rPr>
      </w:pPr>
      <w:r w:rsidRPr="00057880">
        <w:rPr>
          <w:rFonts w:ascii="Lucida Fax" w:hAnsi="Lucida Fax"/>
          <w:lang w:val="en-AU"/>
        </w:rPr>
        <w:br w:type="page"/>
      </w:r>
      <w:bookmarkStart w:id="108" w:name="_Toc412196649"/>
      <w:r w:rsidR="005C15F3" w:rsidRPr="00B75AB3">
        <w:rPr>
          <w:rFonts w:ascii="Lucida Fax" w:hAnsi="Lucida Fax"/>
          <w:lang w:val="en-AU"/>
        </w:rPr>
        <w:lastRenderedPageBreak/>
        <w:t>Attachment 3:</w:t>
      </w:r>
      <w:r w:rsidR="005C15F3" w:rsidRPr="00B75AB3">
        <w:rPr>
          <w:rFonts w:ascii="Lucida Fax" w:hAnsi="Lucida Fax"/>
          <w:lang w:val="en-AU"/>
        </w:rPr>
        <w:tab/>
        <w:t xml:space="preserve">The cost of </w:t>
      </w:r>
      <w:r w:rsidR="009F1FDF" w:rsidRPr="00B75AB3">
        <w:rPr>
          <w:rFonts w:ascii="Lucida Fax" w:hAnsi="Lucida Fax"/>
          <w:lang w:val="en-AU"/>
        </w:rPr>
        <w:t>benzidine</w:t>
      </w:r>
      <w:r w:rsidR="009F1FDF">
        <w:rPr>
          <w:rFonts w:ascii="Lucida Fax" w:hAnsi="Lucida Fax"/>
          <w:lang w:val="en-AU"/>
        </w:rPr>
        <w:t>-</w:t>
      </w:r>
      <w:r w:rsidR="009F1FDF" w:rsidRPr="00B75AB3">
        <w:rPr>
          <w:rFonts w:ascii="Lucida Fax" w:hAnsi="Lucida Fax"/>
          <w:lang w:val="en-AU"/>
        </w:rPr>
        <w:t>based dye</w:t>
      </w:r>
      <w:r w:rsidR="009F1FDF">
        <w:rPr>
          <w:rFonts w:ascii="Lucida Fax" w:hAnsi="Lucida Fax"/>
          <w:lang w:val="en-AU"/>
        </w:rPr>
        <w:t xml:space="preserve"> </w:t>
      </w:r>
      <w:r w:rsidR="005C15F3" w:rsidRPr="00B75AB3">
        <w:rPr>
          <w:rFonts w:ascii="Lucida Fax" w:hAnsi="Lucida Fax"/>
          <w:lang w:val="en-AU"/>
        </w:rPr>
        <w:t>exposure</w:t>
      </w:r>
      <w:bookmarkEnd w:id="108"/>
    </w:p>
    <w:p w:rsidR="005C15F3" w:rsidRPr="00B06B84" w:rsidRDefault="005C15F3" w:rsidP="005C15F3"/>
    <w:p w:rsidR="005C15F3" w:rsidRPr="00690F06" w:rsidRDefault="005C15F3" w:rsidP="005C15F3">
      <w:pPr>
        <w:spacing w:after="240"/>
        <w:rPr>
          <w:rFonts w:ascii="Arial" w:hAnsi="Arial" w:cs="Arial"/>
        </w:rPr>
      </w:pPr>
      <w:r w:rsidRPr="00690F06">
        <w:rPr>
          <w:rFonts w:ascii="Arial" w:hAnsi="Arial" w:cs="Arial"/>
        </w:rPr>
        <w:t>Three benzidine</w:t>
      </w:r>
      <w:r>
        <w:rPr>
          <w:rFonts w:ascii="Arial" w:hAnsi="Arial" w:cs="Arial"/>
        </w:rPr>
        <w:t>-</w:t>
      </w:r>
      <w:r w:rsidRPr="00690F06">
        <w:rPr>
          <w:rFonts w:ascii="Arial" w:hAnsi="Arial" w:cs="Arial"/>
        </w:rPr>
        <w:t>based dyes (Direct Black</w:t>
      </w:r>
      <w:r>
        <w:rPr>
          <w:rFonts w:ascii="Arial" w:hAnsi="Arial" w:cs="Arial"/>
        </w:rPr>
        <w:t> </w:t>
      </w:r>
      <w:r w:rsidRPr="00690F06">
        <w:rPr>
          <w:rFonts w:ascii="Arial" w:hAnsi="Arial" w:cs="Arial"/>
        </w:rPr>
        <w:t>38, Direct Blue</w:t>
      </w:r>
      <w:r>
        <w:rPr>
          <w:rFonts w:ascii="Arial" w:hAnsi="Arial" w:cs="Arial"/>
        </w:rPr>
        <w:t> </w:t>
      </w:r>
      <w:r w:rsidRPr="00690F06">
        <w:rPr>
          <w:rFonts w:ascii="Arial" w:hAnsi="Arial" w:cs="Arial"/>
        </w:rPr>
        <w:t>6 and Direct Brown</w:t>
      </w:r>
      <w:r>
        <w:rPr>
          <w:rFonts w:ascii="Arial" w:hAnsi="Arial" w:cs="Arial"/>
        </w:rPr>
        <w:t> </w:t>
      </w:r>
      <w:r w:rsidRPr="00690F06">
        <w:rPr>
          <w:rFonts w:ascii="Arial" w:hAnsi="Arial" w:cs="Arial"/>
        </w:rPr>
        <w:t>95) have been tested for carcinogenicity in animals. The IARC concluded that there was sufficient evidence that dyes metabolised to benzidine and were carcinogenic based on these studies.</w:t>
      </w:r>
      <w:r w:rsidRPr="00690F06">
        <w:rPr>
          <w:rFonts w:ascii="Arial" w:hAnsi="Arial" w:cs="Arial"/>
          <w:vertAlign w:val="superscript"/>
        </w:rPr>
        <w:footnoteReference w:id="70"/>
      </w:r>
      <w:r w:rsidRPr="00690F06">
        <w:rPr>
          <w:rFonts w:ascii="Arial" w:hAnsi="Arial" w:cs="Arial"/>
        </w:rPr>
        <w:t xml:space="preserve"> The observed effects included increased incidence of hepatocellular carcinomas (a common type of liver cancer) and liver neoplastic nodules (abnormal growth in the liver) with all three dyes and mammary gland cancers with one dye. A slight increase in transitional cell carcinoma of the urinary bladder was observed with one dye.</w:t>
      </w:r>
      <w:r w:rsidRPr="00690F06">
        <w:rPr>
          <w:rFonts w:ascii="Arial" w:hAnsi="Arial" w:cs="Arial"/>
          <w:vertAlign w:val="superscript"/>
        </w:rPr>
        <w:footnoteReference w:id="71"/>
      </w:r>
      <w:r w:rsidRPr="00690F06">
        <w:rPr>
          <w:rFonts w:ascii="Arial" w:hAnsi="Arial" w:cs="Arial"/>
        </w:rPr>
        <w:t xml:space="preserve"> </w:t>
      </w:r>
    </w:p>
    <w:p w:rsidR="005C15F3" w:rsidRPr="00690F06" w:rsidRDefault="005C15F3" w:rsidP="005C15F3">
      <w:pPr>
        <w:spacing w:after="240"/>
        <w:rPr>
          <w:rFonts w:ascii="Arial" w:hAnsi="Arial" w:cs="Arial"/>
        </w:rPr>
      </w:pPr>
      <w:r w:rsidRPr="00690F06">
        <w:rPr>
          <w:rFonts w:ascii="Arial" w:hAnsi="Arial" w:cs="Arial"/>
        </w:rPr>
        <w:t>While some studies have reported an association between benzidine exposure and cancer in other parts of the body (i.e. liver, kidney, central nervous system, oral cavity, larynx, oesophagus, bile duct, gallbladder, stomach, and pancreas); the evidence for an association with benzidine is more limited for cancer in these parts of the body than for urinary bladder cancer.</w:t>
      </w:r>
      <w:r w:rsidRPr="00690F06">
        <w:rPr>
          <w:rFonts w:ascii="Arial" w:hAnsi="Arial" w:cs="Arial"/>
          <w:vertAlign w:val="superscript"/>
        </w:rPr>
        <w:footnoteReference w:id="72"/>
      </w:r>
    </w:p>
    <w:p w:rsidR="005C15F3" w:rsidRPr="00690F06" w:rsidRDefault="005C15F3" w:rsidP="005C15F3">
      <w:pPr>
        <w:spacing w:after="240"/>
        <w:rPr>
          <w:rFonts w:ascii="Arial" w:hAnsi="Arial" w:cs="Arial"/>
        </w:rPr>
      </w:pPr>
      <w:r w:rsidRPr="00690F06">
        <w:rPr>
          <w:rFonts w:ascii="Arial" w:hAnsi="Arial" w:cs="Arial"/>
        </w:rPr>
        <w:t>Smoking is by far the strongest risk factor for bladder cancer with a clear dose-response relationship.</w:t>
      </w:r>
      <w:r w:rsidRPr="00690F06">
        <w:rPr>
          <w:rStyle w:val="FootnoteReference"/>
          <w:rFonts w:ascii="Arial" w:hAnsi="Arial" w:cs="Arial"/>
        </w:rPr>
        <w:footnoteReference w:id="73"/>
      </w:r>
      <w:r w:rsidRPr="00690F06">
        <w:rPr>
          <w:rFonts w:ascii="Arial" w:hAnsi="Arial" w:cs="Arial"/>
        </w:rPr>
        <w:t xml:space="preserve"> In Australia, tobacco use is considered the most significant contributor to the risk of bladder cancer. It is estimated that 2 400 Australians are diagnosed with bladder cancer each year.</w:t>
      </w:r>
      <w:r w:rsidRPr="00690F06">
        <w:rPr>
          <w:rFonts w:ascii="Arial" w:hAnsi="Arial" w:cs="Arial"/>
          <w:vertAlign w:val="superscript"/>
        </w:rPr>
        <w:footnoteReference w:id="74"/>
      </w:r>
      <w:r w:rsidRPr="00690F06">
        <w:rPr>
          <w:rFonts w:ascii="Arial" w:hAnsi="Arial" w:cs="Arial"/>
        </w:rPr>
        <w:t xml:space="preserve"> </w:t>
      </w:r>
    </w:p>
    <w:p w:rsidR="005C15F3" w:rsidRPr="00690F06" w:rsidRDefault="005C15F3" w:rsidP="005C15F3">
      <w:pPr>
        <w:spacing w:after="240"/>
        <w:rPr>
          <w:rFonts w:ascii="Arial" w:hAnsi="Arial" w:cs="Arial"/>
        </w:rPr>
      </w:pPr>
      <w:r w:rsidRPr="00690F06">
        <w:rPr>
          <w:rFonts w:ascii="Arial" w:hAnsi="Arial" w:cs="Arial"/>
        </w:rPr>
        <w:t>Numerous epidemiological studies (case reports and cohort studies) of workers in various geographical locations have reported a strong association between significant long term occupational exposure to benzidine and urinary</w:t>
      </w:r>
      <w:r w:rsidR="009F1FDF">
        <w:rPr>
          <w:rFonts w:ascii="Arial" w:hAnsi="Arial" w:cs="Arial"/>
        </w:rPr>
        <w:t xml:space="preserve"> </w:t>
      </w:r>
      <w:r w:rsidRPr="00690F06">
        <w:rPr>
          <w:rFonts w:ascii="Arial" w:hAnsi="Arial" w:cs="Arial"/>
        </w:rPr>
        <w:t xml:space="preserve">bladder cancer. Exposure from inhalation as well as dermal contact often features in occupational cases. Epidemiological data suggests that urinary bladder cancer incidence has decreased since measures to limit benzidine exposure were instituted in the workplace. A few studies have evaluated exposure to benzidine alone; however, in many studies, workers were co-exposed to other chemicals including tobacco. </w:t>
      </w:r>
      <w:r w:rsidRPr="00690F06">
        <w:rPr>
          <w:rFonts w:ascii="Arial" w:hAnsi="Arial" w:cs="Arial"/>
          <w:vertAlign w:val="superscript"/>
        </w:rPr>
        <w:footnoteReference w:id="75"/>
      </w:r>
      <w:r w:rsidRPr="00690F06">
        <w:rPr>
          <w:rFonts w:ascii="Arial" w:hAnsi="Arial" w:cs="Arial"/>
        </w:rPr>
        <w:t xml:space="preserve"> The risk of bladder cancer is greatly increased for those who both smoke and experience chemical exposure in the workplace.</w:t>
      </w:r>
      <w:r w:rsidRPr="00690F06">
        <w:rPr>
          <w:rStyle w:val="FootnoteReference"/>
          <w:rFonts w:ascii="Arial" w:hAnsi="Arial" w:cs="Arial"/>
        </w:rPr>
        <w:footnoteReference w:id="76"/>
      </w:r>
      <w:r w:rsidRPr="00690F06">
        <w:rPr>
          <w:rFonts w:ascii="Arial" w:hAnsi="Arial" w:cs="Arial"/>
        </w:rPr>
        <w:t xml:space="preserve"> Caution should be exercised when extrapolating from occupational data as exposure to workers in the chemicals or dyeing industries would be orders of magnitude higher than that of consumers in contact with dyed articles. </w:t>
      </w:r>
    </w:p>
    <w:p w:rsidR="005C15F3" w:rsidRPr="00690F06" w:rsidRDefault="005C15F3" w:rsidP="005C15F3">
      <w:pPr>
        <w:spacing w:after="240"/>
        <w:rPr>
          <w:rFonts w:ascii="Arial" w:hAnsi="Arial" w:cs="Arial"/>
        </w:rPr>
      </w:pPr>
      <w:r w:rsidRPr="00690F06">
        <w:rPr>
          <w:rFonts w:ascii="Arial" w:hAnsi="Arial" w:cs="Arial"/>
        </w:rPr>
        <w:t>Evidence from the United States indicates that bladder cancer is considered a ‘survivable cancer’ which requires lifelong monitoring and treatment due to its high rate of recurrence.</w:t>
      </w:r>
      <w:r w:rsidRPr="00690F06">
        <w:rPr>
          <w:rFonts w:ascii="Arial" w:hAnsi="Arial" w:cs="Arial"/>
          <w:vertAlign w:val="superscript"/>
        </w:rPr>
        <w:footnoteReference w:id="77"/>
      </w:r>
      <w:r w:rsidRPr="00690F06">
        <w:rPr>
          <w:rFonts w:ascii="Arial" w:hAnsi="Arial" w:cs="Arial"/>
        </w:rPr>
        <w:t xml:space="preserve"> </w:t>
      </w:r>
    </w:p>
    <w:p w:rsidR="005C15F3" w:rsidRPr="00690F06" w:rsidRDefault="005C15F3" w:rsidP="005C15F3">
      <w:pPr>
        <w:spacing w:after="240"/>
        <w:rPr>
          <w:rFonts w:ascii="Arial" w:hAnsi="Arial" w:cs="Arial"/>
        </w:rPr>
      </w:pPr>
      <w:r w:rsidRPr="00690F06">
        <w:rPr>
          <w:rFonts w:ascii="Arial" w:hAnsi="Arial" w:cs="Arial"/>
        </w:rPr>
        <w:lastRenderedPageBreak/>
        <w:t>The Cancer Council of NSW commissioned Access Economics to compile an independent report to determine the true cost of cancer to affected individuals, their families and society.</w:t>
      </w:r>
      <w:r w:rsidRPr="00690F06">
        <w:rPr>
          <w:rFonts w:ascii="Arial" w:hAnsi="Arial" w:cs="Arial"/>
          <w:vertAlign w:val="superscript"/>
        </w:rPr>
        <w:footnoteReference w:id="78"/>
      </w:r>
      <w:r w:rsidRPr="00690F06">
        <w:rPr>
          <w:rFonts w:ascii="Arial" w:hAnsi="Arial" w:cs="Arial"/>
        </w:rPr>
        <w:t xml:space="preserve"> The report found that the most costly cancers in terms of economic burden were lung, colorectal, breast, stomach, liver and pancreatic cancer while the least costly were bladder, kidney and brain cancer. The total cost of bladder cancer and an average of the total cost of all cancers are provided in Table </w:t>
      </w:r>
      <w:r>
        <w:rPr>
          <w:rFonts w:ascii="Arial" w:hAnsi="Arial" w:cs="Arial"/>
        </w:rPr>
        <w:t>A6.1</w:t>
      </w:r>
      <w:r w:rsidRPr="00690F06">
        <w:rPr>
          <w:rFonts w:ascii="Arial" w:hAnsi="Arial" w:cs="Arial"/>
        </w:rPr>
        <w:t xml:space="preserve">. </w:t>
      </w:r>
    </w:p>
    <w:p w:rsidR="005C15F3" w:rsidRPr="003B5053" w:rsidRDefault="005C15F3" w:rsidP="005C15F3">
      <w:pPr>
        <w:spacing w:after="240"/>
        <w:rPr>
          <w:rFonts w:ascii="Arial" w:hAnsi="Arial" w:cs="Arial"/>
          <w:b/>
          <w:sz w:val="20"/>
          <w:szCs w:val="20"/>
        </w:rPr>
      </w:pPr>
      <w:r w:rsidRPr="003B5053">
        <w:rPr>
          <w:rFonts w:ascii="Arial" w:hAnsi="Arial" w:cs="Arial"/>
          <w:b/>
          <w:sz w:val="20"/>
          <w:szCs w:val="20"/>
        </w:rPr>
        <w:t>Table</w:t>
      </w:r>
      <w:r>
        <w:rPr>
          <w:rFonts w:ascii="Arial" w:hAnsi="Arial" w:cs="Arial"/>
          <w:b/>
          <w:sz w:val="20"/>
          <w:szCs w:val="20"/>
        </w:rPr>
        <w:t> A6.1</w:t>
      </w:r>
      <w:r w:rsidRPr="003B5053">
        <w:rPr>
          <w:rFonts w:ascii="Arial" w:hAnsi="Arial" w:cs="Arial"/>
          <w:b/>
          <w:sz w:val="20"/>
          <w:szCs w:val="20"/>
        </w:rPr>
        <w:t xml:space="preserve">: </w:t>
      </w:r>
      <w:r w:rsidRPr="003B5053">
        <w:rPr>
          <w:rFonts w:ascii="Arial" w:hAnsi="Arial" w:cs="Arial"/>
          <w:b/>
          <w:sz w:val="20"/>
          <w:szCs w:val="20"/>
        </w:rPr>
        <w:tab/>
        <w:t xml:space="preserve">Lifetime economic cost of cancer, NSW, $(2005) per </w:t>
      </w:r>
      <w:r>
        <w:rPr>
          <w:rFonts w:ascii="Arial" w:hAnsi="Arial" w:cs="Arial"/>
          <w:b/>
          <w:sz w:val="20"/>
          <w:szCs w:val="20"/>
        </w:rPr>
        <w:t>case</w:t>
      </w:r>
      <w:r w:rsidRPr="003B5053">
        <w:rPr>
          <w:rFonts w:ascii="Arial" w:hAnsi="Arial" w:cs="Arial"/>
          <w:b/>
          <w:sz w:val="20"/>
          <w:szCs w:val="20"/>
          <w:vertAlign w:val="superscript"/>
        </w:rPr>
        <w:footnoteReference w:id="79"/>
      </w:r>
    </w:p>
    <w:tbl>
      <w:tblPr>
        <w:tblW w:w="0" w:type="auto"/>
        <w:tblBorders>
          <w:top w:val="single" w:sz="12" w:space="0" w:color="auto"/>
          <w:left w:val="single" w:sz="4" w:space="0" w:color="auto"/>
          <w:bottom w:val="single" w:sz="12" w:space="0" w:color="auto"/>
          <w:right w:val="single" w:sz="4" w:space="0" w:color="auto"/>
          <w:insideV w:val="single" w:sz="4" w:space="0" w:color="auto"/>
        </w:tblBorders>
        <w:tblLook w:val="04A0" w:firstRow="1" w:lastRow="0" w:firstColumn="1" w:lastColumn="0" w:noHBand="0" w:noVBand="1"/>
      </w:tblPr>
      <w:tblGrid>
        <w:gridCol w:w="2311"/>
        <w:gridCol w:w="2311"/>
        <w:gridCol w:w="2311"/>
        <w:gridCol w:w="2312"/>
      </w:tblGrid>
      <w:tr w:rsidR="00057880" w:rsidRPr="003B5053" w:rsidTr="00057880">
        <w:tc>
          <w:tcPr>
            <w:tcW w:w="2311" w:type="dxa"/>
            <w:tcBorders>
              <w:top w:val="single" w:sz="12" w:space="0" w:color="auto"/>
              <w:left w:val="nil"/>
              <w:bottom w:val="single" w:sz="12" w:space="0" w:color="auto"/>
              <w:right w:val="single" w:sz="4" w:space="0" w:color="auto"/>
            </w:tcBorders>
            <w:shd w:val="clear" w:color="auto" w:fill="auto"/>
            <w:vAlign w:val="center"/>
            <w:hideMark/>
          </w:tcPr>
          <w:p w:rsidR="005C15F3" w:rsidRPr="00057880" w:rsidRDefault="005C15F3" w:rsidP="00057880">
            <w:pPr>
              <w:spacing w:after="240"/>
              <w:jc w:val="center"/>
              <w:rPr>
                <w:rFonts w:ascii="Arial" w:hAnsi="Arial" w:cs="Arial"/>
                <w:b/>
                <w:sz w:val="20"/>
                <w:szCs w:val="20"/>
              </w:rPr>
            </w:pPr>
            <w:r w:rsidRPr="00057880">
              <w:rPr>
                <w:rFonts w:ascii="Arial" w:hAnsi="Arial" w:cs="Arial"/>
                <w:b/>
                <w:sz w:val="20"/>
                <w:szCs w:val="20"/>
              </w:rPr>
              <w:t>Cancer</w:t>
            </w:r>
          </w:p>
        </w:tc>
        <w:tc>
          <w:tcPr>
            <w:tcW w:w="2311"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5C15F3" w:rsidRPr="00057880" w:rsidRDefault="005C15F3" w:rsidP="00057880">
            <w:pPr>
              <w:spacing w:after="240"/>
              <w:jc w:val="center"/>
              <w:rPr>
                <w:rFonts w:ascii="Arial" w:hAnsi="Arial" w:cs="Arial"/>
                <w:b/>
                <w:sz w:val="20"/>
                <w:szCs w:val="20"/>
              </w:rPr>
            </w:pPr>
            <w:r w:rsidRPr="00057880">
              <w:rPr>
                <w:rFonts w:ascii="Arial" w:hAnsi="Arial" w:cs="Arial"/>
                <w:b/>
                <w:sz w:val="20"/>
                <w:szCs w:val="20"/>
              </w:rPr>
              <w:t>Value of Burden of Disease</w:t>
            </w:r>
          </w:p>
        </w:tc>
        <w:tc>
          <w:tcPr>
            <w:tcW w:w="2311"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5C15F3" w:rsidRPr="00057880" w:rsidRDefault="005C15F3" w:rsidP="00057880">
            <w:pPr>
              <w:spacing w:after="240"/>
              <w:jc w:val="center"/>
              <w:rPr>
                <w:rFonts w:ascii="Arial" w:hAnsi="Arial" w:cs="Arial"/>
                <w:b/>
                <w:sz w:val="20"/>
                <w:szCs w:val="20"/>
              </w:rPr>
            </w:pPr>
            <w:r w:rsidRPr="00057880">
              <w:rPr>
                <w:rFonts w:ascii="Arial" w:hAnsi="Arial" w:cs="Arial"/>
                <w:b/>
                <w:sz w:val="20"/>
                <w:szCs w:val="20"/>
              </w:rPr>
              <w:t>Total financial cost</w:t>
            </w:r>
          </w:p>
        </w:tc>
        <w:tc>
          <w:tcPr>
            <w:tcW w:w="2312" w:type="dxa"/>
            <w:tcBorders>
              <w:top w:val="single" w:sz="12" w:space="0" w:color="auto"/>
              <w:left w:val="single" w:sz="4" w:space="0" w:color="auto"/>
              <w:bottom w:val="single" w:sz="12" w:space="0" w:color="auto"/>
              <w:right w:val="nil"/>
            </w:tcBorders>
            <w:shd w:val="clear" w:color="auto" w:fill="auto"/>
            <w:vAlign w:val="center"/>
            <w:hideMark/>
          </w:tcPr>
          <w:p w:rsidR="005C15F3" w:rsidRPr="00057880" w:rsidRDefault="005C15F3" w:rsidP="00057880">
            <w:pPr>
              <w:spacing w:after="240"/>
              <w:jc w:val="center"/>
              <w:rPr>
                <w:rFonts w:ascii="Arial" w:hAnsi="Arial" w:cs="Arial"/>
                <w:b/>
                <w:sz w:val="20"/>
                <w:szCs w:val="20"/>
              </w:rPr>
            </w:pPr>
            <w:r w:rsidRPr="00057880">
              <w:rPr>
                <w:rFonts w:ascii="Arial" w:hAnsi="Arial" w:cs="Arial"/>
                <w:b/>
                <w:sz w:val="20"/>
                <w:szCs w:val="20"/>
              </w:rPr>
              <w:t>Total cost</w:t>
            </w:r>
          </w:p>
        </w:tc>
      </w:tr>
      <w:tr w:rsidR="00057880" w:rsidRPr="003B5053" w:rsidTr="00057880">
        <w:tc>
          <w:tcPr>
            <w:tcW w:w="2311" w:type="dxa"/>
            <w:tcBorders>
              <w:top w:val="single" w:sz="12" w:space="0" w:color="auto"/>
              <w:left w:val="nil"/>
              <w:bottom w:val="dotted" w:sz="4" w:space="0" w:color="auto"/>
              <w:right w:val="single" w:sz="4" w:space="0" w:color="auto"/>
            </w:tcBorders>
            <w:shd w:val="clear" w:color="auto" w:fill="auto"/>
            <w:vAlign w:val="center"/>
            <w:hideMark/>
          </w:tcPr>
          <w:p w:rsidR="005C15F3" w:rsidRPr="00057880" w:rsidRDefault="005C15F3" w:rsidP="00057880">
            <w:pPr>
              <w:spacing w:after="240"/>
              <w:jc w:val="center"/>
              <w:rPr>
                <w:rFonts w:ascii="Arial" w:hAnsi="Arial" w:cs="Arial"/>
                <w:sz w:val="20"/>
                <w:szCs w:val="20"/>
              </w:rPr>
            </w:pPr>
            <w:r w:rsidRPr="00057880">
              <w:rPr>
                <w:rFonts w:ascii="Arial" w:hAnsi="Arial" w:cs="Arial"/>
                <w:sz w:val="20"/>
                <w:szCs w:val="20"/>
              </w:rPr>
              <w:t>Bladder</w:t>
            </w:r>
          </w:p>
        </w:tc>
        <w:tc>
          <w:tcPr>
            <w:tcW w:w="2311" w:type="dxa"/>
            <w:tcBorders>
              <w:top w:val="single" w:sz="12" w:space="0" w:color="auto"/>
              <w:left w:val="single" w:sz="4" w:space="0" w:color="auto"/>
              <w:bottom w:val="dotted" w:sz="4" w:space="0" w:color="auto"/>
              <w:right w:val="single" w:sz="4" w:space="0" w:color="auto"/>
            </w:tcBorders>
            <w:shd w:val="clear" w:color="auto" w:fill="auto"/>
            <w:vAlign w:val="center"/>
            <w:hideMark/>
          </w:tcPr>
          <w:p w:rsidR="005C15F3" w:rsidRPr="00057880" w:rsidRDefault="005C15F3" w:rsidP="00057880">
            <w:pPr>
              <w:spacing w:after="240"/>
              <w:jc w:val="center"/>
              <w:rPr>
                <w:rFonts w:ascii="Arial" w:hAnsi="Arial" w:cs="Arial"/>
                <w:sz w:val="20"/>
                <w:szCs w:val="20"/>
              </w:rPr>
            </w:pPr>
            <w:r w:rsidRPr="00057880">
              <w:rPr>
                <w:rFonts w:ascii="Arial" w:hAnsi="Arial" w:cs="Arial"/>
                <w:sz w:val="20"/>
                <w:szCs w:val="20"/>
              </w:rPr>
              <w:t>734 700</w:t>
            </w:r>
          </w:p>
        </w:tc>
        <w:tc>
          <w:tcPr>
            <w:tcW w:w="2311" w:type="dxa"/>
            <w:tcBorders>
              <w:top w:val="single" w:sz="12" w:space="0" w:color="auto"/>
              <w:left w:val="single" w:sz="4" w:space="0" w:color="auto"/>
              <w:bottom w:val="dotted" w:sz="4" w:space="0" w:color="auto"/>
              <w:right w:val="single" w:sz="4" w:space="0" w:color="auto"/>
            </w:tcBorders>
            <w:shd w:val="clear" w:color="auto" w:fill="auto"/>
            <w:vAlign w:val="center"/>
            <w:hideMark/>
          </w:tcPr>
          <w:p w:rsidR="005C15F3" w:rsidRPr="00057880" w:rsidRDefault="005C15F3" w:rsidP="00057880">
            <w:pPr>
              <w:spacing w:after="240"/>
              <w:jc w:val="center"/>
              <w:rPr>
                <w:rFonts w:ascii="Arial" w:hAnsi="Arial" w:cs="Arial"/>
                <w:sz w:val="20"/>
                <w:szCs w:val="20"/>
              </w:rPr>
            </w:pPr>
            <w:r w:rsidRPr="00057880">
              <w:rPr>
                <w:rFonts w:ascii="Arial" w:hAnsi="Arial" w:cs="Arial"/>
                <w:sz w:val="20"/>
                <w:szCs w:val="20"/>
              </w:rPr>
              <w:t>78 800</w:t>
            </w:r>
          </w:p>
        </w:tc>
        <w:tc>
          <w:tcPr>
            <w:tcW w:w="2312" w:type="dxa"/>
            <w:tcBorders>
              <w:top w:val="single" w:sz="12" w:space="0" w:color="auto"/>
              <w:left w:val="single" w:sz="4" w:space="0" w:color="auto"/>
              <w:bottom w:val="dotted" w:sz="4" w:space="0" w:color="auto"/>
              <w:right w:val="nil"/>
            </w:tcBorders>
            <w:shd w:val="clear" w:color="auto" w:fill="auto"/>
            <w:vAlign w:val="center"/>
            <w:hideMark/>
          </w:tcPr>
          <w:p w:rsidR="005C15F3" w:rsidRPr="00057880" w:rsidRDefault="005C15F3" w:rsidP="00057880">
            <w:pPr>
              <w:spacing w:after="240"/>
              <w:jc w:val="center"/>
              <w:rPr>
                <w:rFonts w:ascii="Arial" w:hAnsi="Arial" w:cs="Arial"/>
                <w:sz w:val="20"/>
                <w:szCs w:val="20"/>
              </w:rPr>
            </w:pPr>
            <w:r w:rsidRPr="00057880">
              <w:rPr>
                <w:rFonts w:ascii="Arial" w:hAnsi="Arial" w:cs="Arial"/>
                <w:sz w:val="20"/>
                <w:szCs w:val="20"/>
              </w:rPr>
              <w:t>813 500</w:t>
            </w:r>
          </w:p>
        </w:tc>
      </w:tr>
      <w:tr w:rsidR="00057880" w:rsidRPr="003B5053" w:rsidTr="00057880">
        <w:tc>
          <w:tcPr>
            <w:tcW w:w="2311" w:type="dxa"/>
            <w:tcBorders>
              <w:top w:val="dotted" w:sz="4" w:space="0" w:color="auto"/>
              <w:left w:val="nil"/>
              <w:bottom w:val="single" w:sz="12" w:space="0" w:color="auto"/>
              <w:right w:val="single" w:sz="4" w:space="0" w:color="auto"/>
            </w:tcBorders>
            <w:shd w:val="clear" w:color="auto" w:fill="auto"/>
            <w:vAlign w:val="center"/>
            <w:hideMark/>
          </w:tcPr>
          <w:p w:rsidR="005C15F3" w:rsidRPr="00057880" w:rsidRDefault="005C15F3" w:rsidP="00057880">
            <w:pPr>
              <w:spacing w:after="240"/>
              <w:jc w:val="center"/>
              <w:rPr>
                <w:rFonts w:ascii="Arial" w:hAnsi="Arial" w:cs="Arial"/>
                <w:sz w:val="20"/>
                <w:szCs w:val="20"/>
              </w:rPr>
            </w:pPr>
            <w:r w:rsidRPr="00057880">
              <w:rPr>
                <w:rFonts w:ascii="Arial" w:hAnsi="Arial" w:cs="Arial"/>
                <w:sz w:val="20"/>
                <w:szCs w:val="20"/>
              </w:rPr>
              <w:t>All cancers</w:t>
            </w:r>
          </w:p>
        </w:tc>
        <w:tc>
          <w:tcPr>
            <w:tcW w:w="2311" w:type="dxa"/>
            <w:tcBorders>
              <w:top w:val="dotted" w:sz="4" w:space="0" w:color="auto"/>
              <w:left w:val="single" w:sz="4" w:space="0" w:color="auto"/>
              <w:bottom w:val="single" w:sz="12" w:space="0" w:color="auto"/>
              <w:right w:val="single" w:sz="4" w:space="0" w:color="auto"/>
            </w:tcBorders>
            <w:shd w:val="clear" w:color="auto" w:fill="auto"/>
            <w:vAlign w:val="center"/>
            <w:hideMark/>
          </w:tcPr>
          <w:p w:rsidR="005C15F3" w:rsidRPr="00057880" w:rsidRDefault="005C15F3" w:rsidP="00057880">
            <w:pPr>
              <w:spacing w:after="240"/>
              <w:jc w:val="center"/>
              <w:rPr>
                <w:rFonts w:ascii="Arial" w:hAnsi="Arial" w:cs="Arial"/>
                <w:sz w:val="20"/>
                <w:szCs w:val="20"/>
              </w:rPr>
            </w:pPr>
            <w:r w:rsidRPr="00057880">
              <w:rPr>
                <w:rFonts w:ascii="Arial" w:hAnsi="Arial" w:cs="Arial"/>
                <w:sz w:val="20"/>
                <w:szCs w:val="20"/>
              </w:rPr>
              <w:t>851 600</w:t>
            </w:r>
          </w:p>
        </w:tc>
        <w:tc>
          <w:tcPr>
            <w:tcW w:w="2311" w:type="dxa"/>
            <w:tcBorders>
              <w:top w:val="dotted" w:sz="4" w:space="0" w:color="auto"/>
              <w:left w:val="single" w:sz="4" w:space="0" w:color="auto"/>
              <w:bottom w:val="single" w:sz="12" w:space="0" w:color="auto"/>
              <w:right w:val="single" w:sz="4" w:space="0" w:color="auto"/>
            </w:tcBorders>
            <w:shd w:val="clear" w:color="auto" w:fill="auto"/>
            <w:vAlign w:val="center"/>
            <w:hideMark/>
          </w:tcPr>
          <w:p w:rsidR="005C15F3" w:rsidRPr="00057880" w:rsidRDefault="005C15F3" w:rsidP="00057880">
            <w:pPr>
              <w:spacing w:after="240"/>
              <w:jc w:val="center"/>
              <w:rPr>
                <w:rFonts w:ascii="Arial" w:hAnsi="Arial" w:cs="Arial"/>
                <w:sz w:val="20"/>
                <w:szCs w:val="20"/>
              </w:rPr>
            </w:pPr>
            <w:r w:rsidRPr="00057880">
              <w:rPr>
                <w:rFonts w:ascii="Arial" w:hAnsi="Arial" w:cs="Arial"/>
                <w:sz w:val="20"/>
                <w:szCs w:val="20"/>
              </w:rPr>
              <w:t>114 500</w:t>
            </w:r>
          </w:p>
        </w:tc>
        <w:tc>
          <w:tcPr>
            <w:tcW w:w="2312" w:type="dxa"/>
            <w:tcBorders>
              <w:top w:val="dotted" w:sz="4" w:space="0" w:color="auto"/>
              <w:left w:val="single" w:sz="4" w:space="0" w:color="auto"/>
              <w:bottom w:val="single" w:sz="12" w:space="0" w:color="auto"/>
              <w:right w:val="nil"/>
            </w:tcBorders>
            <w:shd w:val="clear" w:color="auto" w:fill="auto"/>
            <w:vAlign w:val="center"/>
            <w:hideMark/>
          </w:tcPr>
          <w:p w:rsidR="005C15F3" w:rsidRPr="00057880" w:rsidRDefault="005C15F3" w:rsidP="00057880">
            <w:pPr>
              <w:spacing w:after="240"/>
              <w:jc w:val="center"/>
              <w:rPr>
                <w:rFonts w:ascii="Arial" w:hAnsi="Arial" w:cs="Arial"/>
                <w:sz w:val="20"/>
                <w:szCs w:val="20"/>
              </w:rPr>
            </w:pPr>
            <w:r w:rsidRPr="00057880">
              <w:rPr>
                <w:rFonts w:ascii="Arial" w:hAnsi="Arial" w:cs="Arial"/>
                <w:sz w:val="20"/>
                <w:szCs w:val="20"/>
              </w:rPr>
              <w:t>966 000</w:t>
            </w:r>
          </w:p>
        </w:tc>
      </w:tr>
    </w:tbl>
    <w:p w:rsidR="005C15F3" w:rsidRPr="00690F06" w:rsidRDefault="005C15F3" w:rsidP="005C15F3">
      <w:pPr>
        <w:spacing w:after="240"/>
        <w:rPr>
          <w:rFonts w:ascii="Arial" w:hAnsi="Arial" w:cs="Arial"/>
        </w:rPr>
      </w:pPr>
    </w:p>
    <w:p w:rsidR="005C15F3" w:rsidRPr="00690F06" w:rsidRDefault="005C15F3" w:rsidP="005C15F3">
      <w:pPr>
        <w:spacing w:after="240"/>
        <w:rPr>
          <w:rFonts w:ascii="Arial" w:hAnsi="Arial" w:cs="Arial"/>
        </w:rPr>
      </w:pPr>
      <w:r w:rsidRPr="00690F06">
        <w:rPr>
          <w:rFonts w:ascii="Arial" w:hAnsi="Arial" w:cs="Arial"/>
        </w:rPr>
        <w:t xml:space="preserve">The lifetime </w:t>
      </w:r>
      <w:r w:rsidRPr="00690F06">
        <w:rPr>
          <w:rFonts w:ascii="Arial" w:hAnsi="Arial" w:cs="Arial"/>
          <w:i/>
        </w:rPr>
        <w:t xml:space="preserve">household </w:t>
      </w:r>
      <w:r w:rsidRPr="00690F06">
        <w:rPr>
          <w:rFonts w:ascii="Arial" w:hAnsi="Arial" w:cs="Arial"/>
        </w:rPr>
        <w:t>financial costs for bladder cancer are provided in Table</w:t>
      </w:r>
      <w:r>
        <w:rPr>
          <w:rFonts w:ascii="Arial" w:hAnsi="Arial" w:cs="Arial"/>
        </w:rPr>
        <w:t> A6.2</w:t>
      </w:r>
      <w:r w:rsidRPr="00690F06">
        <w:rPr>
          <w:rFonts w:ascii="Arial" w:hAnsi="Arial" w:cs="Arial"/>
        </w:rPr>
        <w:t>. In 2005</w:t>
      </w:r>
      <w:r>
        <w:rPr>
          <w:rFonts w:ascii="Arial" w:hAnsi="Arial" w:cs="Arial"/>
        </w:rPr>
        <w:t> </w:t>
      </w:r>
      <w:r w:rsidRPr="00690F06">
        <w:rPr>
          <w:rFonts w:ascii="Arial" w:hAnsi="Arial" w:cs="Arial"/>
        </w:rPr>
        <w:t>dollars they were estimated to be $27 200 per household. Household costs comprise costs to individuals and families only. When these costs are escalated to 2014</w:t>
      </w:r>
      <w:r>
        <w:rPr>
          <w:rFonts w:ascii="Arial" w:hAnsi="Arial" w:cs="Arial"/>
        </w:rPr>
        <w:t> </w:t>
      </w:r>
      <w:r w:rsidRPr="00690F06">
        <w:rPr>
          <w:rFonts w:ascii="Arial" w:hAnsi="Arial" w:cs="Arial"/>
        </w:rPr>
        <w:t xml:space="preserve">dollars using CPI data, the total cost to households of bladder cancer is close to $35 000 per household. This figure represents the financial cost only and does not include the value of the burden of the disease on households. </w:t>
      </w:r>
    </w:p>
    <w:p w:rsidR="005C15F3" w:rsidRPr="003B5053" w:rsidRDefault="005C15F3" w:rsidP="005C15F3">
      <w:pPr>
        <w:keepNext/>
        <w:spacing w:after="240"/>
        <w:rPr>
          <w:rFonts w:ascii="Arial" w:hAnsi="Arial" w:cs="Arial"/>
          <w:b/>
          <w:sz w:val="20"/>
          <w:szCs w:val="20"/>
        </w:rPr>
      </w:pPr>
      <w:r w:rsidRPr="003B5053">
        <w:rPr>
          <w:rFonts w:ascii="Arial" w:hAnsi="Arial" w:cs="Arial"/>
          <w:b/>
          <w:sz w:val="20"/>
          <w:szCs w:val="20"/>
        </w:rPr>
        <w:t xml:space="preserve">Table </w:t>
      </w:r>
      <w:r>
        <w:rPr>
          <w:rFonts w:ascii="Arial" w:hAnsi="Arial" w:cs="Arial"/>
          <w:b/>
          <w:sz w:val="20"/>
          <w:szCs w:val="20"/>
        </w:rPr>
        <w:t>A6.2</w:t>
      </w:r>
      <w:r w:rsidRPr="003B5053">
        <w:rPr>
          <w:rFonts w:ascii="Arial" w:hAnsi="Arial" w:cs="Arial"/>
          <w:b/>
          <w:sz w:val="20"/>
          <w:szCs w:val="20"/>
        </w:rPr>
        <w:t>:</w:t>
      </w:r>
      <w:r w:rsidRPr="003B5053">
        <w:rPr>
          <w:rFonts w:ascii="Arial" w:hAnsi="Arial" w:cs="Arial"/>
          <w:b/>
          <w:sz w:val="20"/>
          <w:szCs w:val="20"/>
        </w:rPr>
        <w:tab/>
        <w:t>Lifetime financial cost faced by households, by age/sex, $(2005) per person</w:t>
      </w:r>
      <w:r w:rsidRPr="003B5053">
        <w:rPr>
          <w:rFonts w:ascii="Arial" w:hAnsi="Arial" w:cs="Arial"/>
          <w:b/>
          <w:sz w:val="20"/>
          <w:szCs w:val="20"/>
          <w:vertAlign w:val="superscript"/>
        </w:rPr>
        <w:footnoteReference w:id="80"/>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55"/>
        <w:gridCol w:w="1155"/>
        <w:gridCol w:w="1155"/>
        <w:gridCol w:w="1156"/>
        <w:gridCol w:w="1156"/>
        <w:gridCol w:w="1156"/>
        <w:gridCol w:w="1156"/>
        <w:gridCol w:w="1156"/>
      </w:tblGrid>
      <w:tr w:rsidR="00057880" w:rsidRPr="003B5053" w:rsidTr="00057880">
        <w:tc>
          <w:tcPr>
            <w:tcW w:w="1155" w:type="dxa"/>
            <w:tcBorders>
              <w:top w:val="single" w:sz="12" w:space="0" w:color="auto"/>
              <w:left w:val="nil"/>
              <w:bottom w:val="nil"/>
              <w:right w:val="nil"/>
            </w:tcBorders>
            <w:shd w:val="clear" w:color="auto" w:fill="auto"/>
            <w:hideMark/>
          </w:tcPr>
          <w:p w:rsidR="005C15F3" w:rsidRPr="00057880" w:rsidRDefault="005C15F3" w:rsidP="00057880">
            <w:pPr>
              <w:keepNext/>
              <w:spacing w:after="240"/>
              <w:rPr>
                <w:rFonts w:ascii="Arial" w:hAnsi="Arial" w:cs="Arial"/>
                <w:b/>
                <w:sz w:val="20"/>
                <w:szCs w:val="20"/>
              </w:rPr>
            </w:pPr>
            <w:r w:rsidRPr="00057880">
              <w:rPr>
                <w:rFonts w:ascii="Arial" w:hAnsi="Arial" w:cs="Arial"/>
                <w:b/>
                <w:sz w:val="20"/>
                <w:szCs w:val="20"/>
              </w:rPr>
              <w:t>Cancer</w:t>
            </w:r>
          </w:p>
        </w:tc>
        <w:tc>
          <w:tcPr>
            <w:tcW w:w="1155" w:type="dxa"/>
            <w:tcBorders>
              <w:top w:val="single" w:sz="12" w:space="0" w:color="auto"/>
              <w:left w:val="nil"/>
              <w:bottom w:val="nil"/>
              <w:right w:val="nil"/>
            </w:tcBorders>
            <w:shd w:val="clear" w:color="auto" w:fill="auto"/>
            <w:hideMark/>
          </w:tcPr>
          <w:p w:rsidR="005C15F3" w:rsidRPr="00057880" w:rsidRDefault="005C15F3" w:rsidP="00057880">
            <w:pPr>
              <w:keepNext/>
              <w:spacing w:after="240"/>
              <w:rPr>
                <w:rFonts w:ascii="Arial" w:hAnsi="Arial" w:cs="Arial"/>
                <w:b/>
                <w:sz w:val="20"/>
                <w:szCs w:val="20"/>
              </w:rPr>
            </w:pPr>
            <w:r w:rsidRPr="00057880">
              <w:rPr>
                <w:rFonts w:ascii="Arial" w:hAnsi="Arial" w:cs="Arial"/>
                <w:b/>
                <w:sz w:val="20"/>
                <w:szCs w:val="20"/>
              </w:rPr>
              <w:t>Average financial cost</w:t>
            </w:r>
          </w:p>
        </w:tc>
        <w:tc>
          <w:tcPr>
            <w:tcW w:w="3467" w:type="dxa"/>
            <w:gridSpan w:val="3"/>
            <w:tcBorders>
              <w:top w:val="single" w:sz="12" w:space="0" w:color="auto"/>
              <w:left w:val="nil"/>
              <w:bottom w:val="nil"/>
              <w:right w:val="nil"/>
            </w:tcBorders>
            <w:shd w:val="clear" w:color="auto" w:fill="auto"/>
            <w:vAlign w:val="center"/>
            <w:hideMark/>
          </w:tcPr>
          <w:p w:rsidR="005C15F3" w:rsidRPr="00057880" w:rsidRDefault="005C15F3" w:rsidP="00057880">
            <w:pPr>
              <w:keepNext/>
              <w:spacing w:after="240"/>
              <w:rPr>
                <w:rFonts w:ascii="Arial" w:hAnsi="Arial" w:cs="Arial"/>
                <w:b/>
                <w:sz w:val="20"/>
                <w:szCs w:val="20"/>
              </w:rPr>
            </w:pPr>
            <w:r w:rsidRPr="00057880">
              <w:rPr>
                <w:rFonts w:ascii="Arial" w:hAnsi="Arial" w:cs="Arial"/>
                <w:b/>
                <w:sz w:val="20"/>
                <w:szCs w:val="20"/>
              </w:rPr>
              <w:t>Males</w:t>
            </w:r>
          </w:p>
        </w:tc>
        <w:tc>
          <w:tcPr>
            <w:tcW w:w="3468" w:type="dxa"/>
            <w:gridSpan w:val="3"/>
            <w:tcBorders>
              <w:top w:val="single" w:sz="12" w:space="0" w:color="auto"/>
              <w:left w:val="nil"/>
              <w:bottom w:val="nil"/>
              <w:right w:val="nil"/>
            </w:tcBorders>
            <w:shd w:val="clear" w:color="auto" w:fill="auto"/>
            <w:vAlign w:val="center"/>
            <w:hideMark/>
          </w:tcPr>
          <w:p w:rsidR="005C15F3" w:rsidRPr="00057880" w:rsidRDefault="005C15F3" w:rsidP="00057880">
            <w:pPr>
              <w:keepNext/>
              <w:spacing w:after="240"/>
              <w:rPr>
                <w:rFonts w:ascii="Arial" w:hAnsi="Arial" w:cs="Arial"/>
                <w:b/>
                <w:sz w:val="20"/>
                <w:szCs w:val="20"/>
              </w:rPr>
            </w:pPr>
            <w:r w:rsidRPr="00057880">
              <w:rPr>
                <w:rFonts w:ascii="Arial" w:hAnsi="Arial" w:cs="Arial"/>
                <w:b/>
                <w:sz w:val="20"/>
                <w:szCs w:val="20"/>
              </w:rPr>
              <w:t>Females</w:t>
            </w:r>
          </w:p>
        </w:tc>
      </w:tr>
      <w:tr w:rsidR="00057880" w:rsidRPr="003B5053" w:rsidTr="00057880">
        <w:tc>
          <w:tcPr>
            <w:tcW w:w="1155" w:type="dxa"/>
            <w:tcBorders>
              <w:top w:val="nil"/>
              <w:left w:val="nil"/>
              <w:bottom w:val="single" w:sz="12" w:space="0" w:color="auto"/>
              <w:right w:val="nil"/>
            </w:tcBorders>
            <w:shd w:val="clear" w:color="auto" w:fill="auto"/>
          </w:tcPr>
          <w:p w:rsidR="005C15F3" w:rsidRPr="00057880" w:rsidRDefault="005C15F3" w:rsidP="00057880">
            <w:pPr>
              <w:keepNext/>
              <w:spacing w:after="240"/>
              <w:rPr>
                <w:rFonts w:ascii="Arial" w:hAnsi="Arial" w:cs="Arial"/>
                <w:b/>
                <w:sz w:val="20"/>
                <w:szCs w:val="20"/>
              </w:rPr>
            </w:pPr>
          </w:p>
        </w:tc>
        <w:tc>
          <w:tcPr>
            <w:tcW w:w="1155" w:type="dxa"/>
            <w:tcBorders>
              <w:top w:val="nil"/>
              <w:left w:val="nil"/>
              <w:bottom w:val="single" w:sz="12" w:space="0" w:color="auto"/>
              <w:right w:val="nil"/>
            </w:tcBorders>
            <w:shd w:val="clear" w:color="auto" w:fill="auto"/>
          </w:tcPr>
          <w:p w:rsidR="005C15F3" w:rsidRPr="00057880" w:rsidRDefault="005C15F3" w:rsidP="00057880">
            <w:pPr>
              <w:keepNext/>
              <w:spacing w:after="240"/>
              <w:rPr>
                <w:rFonts w:ascii="Arial" w:hAnsi="Arial" w:cs="Arial"/>
                <w:b/>
                <w:sz w:val="20"/>
                <w:szCs w:val="20"/>
              </w:rPr>
            </w:pPr>
          </w:p>
        </w:tc>
        <w:tc>
          <w:tcPr>
            <w:tcW w:w="1155" w:type="dxa"/>
            <w:tcBorders>
              <w:top w:val="nil"/>
              <w:left w:val="nil"/>
              <w:bottom w:val="single" w:sz="12" w:space="0" w:color="auto"/>
              <w:right w:val="nil"/>
            </w:tcBorders>
            <w:shd w:val="clear" w:color="auto" w:fill="auto"/>
            <w:vAlign w:val="center"/>
            <w:hideMark/>
          </w:tcPr>
          <w:p w:rsidR="005C15F3" w:rsidRPr="00057880" w:rsidRDefault="005C15F3" w:rsidP="00057880">
            <w:pPr>
              <w:keepNext/>
              <w:spacing w:after="240"/>
              <w:rPr>
                <w:rFonts w:ascii="Arial" w:hAnsi="Arial" w:cs="Arial"/>
                <w:b/>
                <w:sz w:val="20"/>
                <w:szCs w:val="20"/>
              </w:rPr>
            </w:pPr>
            <w:r w:rsidRPr="00057880">
              <w:rPr>
                <w:rFonts w:ascii="Arial" w:hAnsi="Arial" w:cs="Arial"/>
                <w:b/>
                <w:sz w:val="20"/>
                <w:szCs w:val="20"/>
              </w:rPr>
              <w:t>0-14</w:t>
            </w:r>
          </w:p>
        </w:tc>
        <w:tc>
          <w:tcPr>
            <w:tcW w:w="1156" w:type="dxa"/>
            <w:tcBorders>
              <w:top w:val="nil"/>
              <w:left w:val="nil"/>
              <w:bottom w:val="single" w:sz="12" w:space="0" w:color="auto"/>
              <w:right w:val="nil"/>
            </w:tcBorders>
            <w:shd w:val="clear" w:color="auto" w:fill="auto"/>
            <w:vAlign w:val="center"/>
            <w:hideMark/>
          </w:tcPr>
          <w:p w:rsidR="005C15F3" w:rsidRPr="00057880" w:rsidRDefault="005C15F3" w:rsidP="00057880">
            <w:pPr>
              <w:keepNext/>
              <w:spacing w:after="240"/>
              <w:rPr>
                <w:rFonts w:ascii="Arial" w:hAnsi="Arial" w:cs="Arial"/>
                <w:b/>
                <w:sz w:val="20"/>
                <w:szCs w:val="20"/>
              </w:rPr>
            </w:pPr>
            <w:r w:rsidRPr="00057880">
              <w:rPr>
                <w:rFonts w:ascii="Arial" w:hAnsi="Arial" w:cs="Arial"/>
                <w:b/>
                <w:sz w:val="20"/>
                <w:szCs w:val="20"/>
              </w:rPr>
              <w:t>15-64</w:t>
            </w:r>
          </w:p>
        </w:tc>
        <w:tc>
          <w:tcPr>
            <w:tcW w:w="1156" w:type="dxa"/>
            <w:tcBorders>
              <w:top w:val="nil"/>
              <w:left w:val="nil"/>
              <w:bottom w:val="single" w:sz="12" w:space="0" w:color="auto"/>
              <w:right w:val="nil"/>
            </w:tcBorders>
            <w:shd w:val="clear" w:color="auto" w:fill="auto"/>
            <w:vAlign w:val="center"/>
            <w:hideMark/>
          </w:tcPr>
          <w:p w:rsidR="005C15F3" w:rsidRPr="00057880" w:rsidRDefault="005C15F3" w:rsidP="00057880">
            <w:pPr>
              <w:keepNext/>
              <w:spacing w:after="240"/>
              <w:rPr>
                <w:rFonts w:ascii="Arial" w:hAnsi="Arial" w:cs="Arial"/>
                <w:b/>
                <w:sz w:val="20"/>
                <w:szCs w:val="20"/>
              </w:rPr>
            </w:pPr>
            <w:r w:rsidRPr="00057880">
              <w:rPr>
                <w:rFonts w:ascii="Arial" w:hAnsi="Arial" w:cs="Arial"/>
                <w:b/>
                <w:sz w:val="20"/>
                <w:szCs w:val="20"/>
              </w:rPr>
              <w:t>64+</w:t>
            </w:r>
          </w:p>
        </w:tc>
        <w:tc>
          <w:tcPr>
            <w:tcW w:w="1156" w:type="dxa"/>
            <w:tcBorders>
              <w:top w:val="nil"/>
              <w:left w:val="nil"/>
              <w:bottom w:val="single" w:sz="12" w:space="0" w:color="auto"/>
              <w:right w:val="nil"/>
            </w:tcBorders>
            <w:shd w:val="clear" w:color="auto" w:fill="auto"/>
            <w:vAlign w:val="center"/>
            <w:hideMark/>
          </w:tcPr>
          <w:p w:rsidR="005C15F3" w:rsidRPr="00057880" w:rsidRDefault="005C15F3" w:rsidP="00057880">
            <w:pPr>
              <w:keepNext/>
              <w:spacing w:after="240"/>
              <w:rPr>
                <w:rFonts w:ascii="Arial" w:hAnsi="Arial" w:cs="Arial"/>
                <w:b/>
                <w:sz w:val="20"/>
                <w:szCs w:val="20"/>
              </w:rPr>
            </w:pPr>
            <w:r w:rsidRPr="00057880">
              <w:rPr>
                <w:rFonts w:ascii="Arial" w:hAnsi="Arial" w:cs="Arial"/>
                <w:b/>
                <w:sz w:val="20"/>
                <w:szCs w:val="20"/>
              </w:rPr>
              <w:t>0-14</w:t>
            </w:r>
          </w:p>
        </w:tc>
        <w:tc>
          <w:tcPr>
            <w:tcW w:w="1156" w:type="dxa"/>
            <w:tcBorders>
              <w:top w:val="nil"/>
              <w:left w:val="nil"/>
              <w:bottom w:val="single" w:sz="12" w:space="0" w:color="auto"/>
              <w:right w:val="nil"/>
            </w:tcBorders>
            <w:shd w:val="clear" w:color="auto" w:fill="auto"/>
            <w:vAlign w:val="center"/>
            <w:hideMark/>
          </w:tcPr>
          <w:p w:rsidR="005C15F3" w:rsidRPr="00057880" w:rsidRDefault="005C15F3" w:rsidP="00057880">
            <w:pPr>
              <w:keepNext/>
              <w:spacing w:after="240"/>
              <w:rPr>
                <w:rFonts w:ascii="Arial" w:hAnsi="Arial" w:cs="Arial"/>
                <w:b/>
                <w:sz w:val="20"/>
                <w:szCs w:val="20"/>
              </w:rPr>
            </w:pPr>
            <w:r w:rsidRPr="00057880">
              <w:rPr>
                <w:rFonts w:ascii="Arial" w:hAnsi="Arial" w:cs="Arial"/>
                <w:b/>
                <w:sz w:val="20"/>
                <w:szCs w:val="20"/>
              </w:rPr>
              <w:t>15-64</w:t>
            </w:r>
          </w:p>
        </w:tc>
        <w:tc>
          <w:tcPr>
            <w:tcW w:w="1156" w:type="dxa"/>
            <w:tcBorders>
              <w:top w:val="nil"/>
              <w:left w:val="nil"/>
              <w:bottom w:val="single" w:sz="12" w:space="0" w:color="auto"/>
              <w:right w:val="nil"/>
            </w:tcBorders>
            <w:shd w:val="clear" w:color="auto" w:fill="auto"/>
            <w:vAlign w:val="center"/>
            <w:hideMark/>
          </w:tcPr>
          <w:p w:rsidR="005C15F3" w:rsidRPr="00057880" w:rsidRDefault="005C15F3" w:rsidP="00057880">
            <w:pPr>
              <w:keepNext/>
              <w:spacing w:after="240"/>
              <w:rPr>
                <w:rFonts w:ascii="Arial" w:hAnsi="Arial" w:cs="Arial"/>
                <w:b/>
                <w:sz w:val="20"/>
                <w:szCs w:val="20"/>
              </w:rPr>
            </w:pPr>
            <w:r w:rsidRPr="00057880">
              <w:rPr>
                <w:rFonts w:ascii="Arial" w:hAnsi="Arial" w:cs="Arial"/>
                <w:b/>
                <w:sz w:val="20"/>
                <w:szCs w:val="20"/>
              </w:rPr>
              <w:t>65+</w:t>
            </w:r>
          </w:p>
        </w:tc>
      </w:tr>
      <w:tr w:rsidR="00057880" w:rsidRPr="003B5053" w:rsidTr="00057880">
        <w:tc>
          <w:tcPr>
            <w:tcW w:w="1155" w:type="dxa"/>
            <w:tcBorders>
              <w:top w:val="single" w:sz="12" w:space="0" w:color="auto"/>
              <w:left w:val="nil"/>
              <w:bottom w:val="dotted" w:sz="4" w:space="0" w:color="auto"/>
              <w:right w:val="nil"/>
            </w:tcBorders>
            <w:shd w:val="clear" w:color="auto" w:fill="auto"/>
            <w:hideMark/>
          </w:tcPr>
          <w:p w:rsidR="005C15F3" w:rsidRPr="00057880" w:rsidRDefault="005C15F3" w:rsidP="00057880">
            <w:pPr>
              <w:keepNext/>
              <w:spacing w:after="240"/>
              <w:rPr>
                <w:rFonts w:ascii="Arial" w:hAnsi="Arial" w:cs="Arial"/>
                <w:sz w:val="20"/>
                <w:szCs w:val="20"/>
              </w:rPr>
            </w:pPr>
            <w:r w:rsidRPr="00057880">
              <w:rPr>
                <w:rFonts w:ascii="Arial" w:hAnsi="Arial" w:cs="Arial"/>
                <w:sz w:val="20"/>
                <w:szCs w:val="20"/>
              </w:rPr>
              <w:t>Bladder</w:t>
            </w:r>
          </w:p>
        </w:tc>
        <w:tc>
          <w:tcPr>
            <w:tcW w:w="1155" w:type="dxa"/>
            <w:tcBorders>
              <w:top w:val="single" w:sz="12" w:space="0" w:color="auto"/>
              <w:left w:val="nil"/>
              <w:bottom w:val="dotted" w:sz="4" w:space="0" w:color="auto"/>
              <w:right w:val="nil"/>
            </w:tcBorders>
            <w:shd w:val="clear" w:color="auto" w:fill="auto"/>
            <w:hideMark/>
          </w:tcPr>
          <w:p w:rsidR="005C15F3" w:rsidRPr="00057880" w:rsidRDefault="005C15F3" w:rsidP="00057880">
            <w:pPr>
              <w:keepNext/>
              <w:spacing w:after="240"/>
              <w:rPr>
                <w:rFonts w:ascii="Arial" w:hAnsi="Arial" w:cs="Arial"/>
                <w:sz w:val="20"/>
                <w:szCs w:val="20"/>
              </w:rPr>
            </w:pPr>
            <w:r w:rsidRPr="00057880">
              <w:rPr>
                <w:rFonts w:ascii="Arial" w:hAnsi="Arial" w:cs="Arial"/>
                <w:sz w:val="20"/>
                <w:szCs w:val="20"/>
              </w:rPr>
              <w:t>27 200</w:t>
            </w:r>
          </w:p>
        </w:tc>
        <w:tc>
          <w:tcPr>
            <w:tcW w:w="1155" w:type="dxa"/>
            <w:tcBorders>
              <w:top w:val="single" w:sz="12" w:space="0" w:color="auto"/>
              <w:left w:val="nil"/>
              <w:bottom w:val="dotted" w:sz="4" w:space="0" w:color="auto"/>
              <w:right w:val="nil"/>
            </w:tcBorders>
            <w:shd w:val="clear" w:color="auto" w:fill="auto"/>
            <w:hideMark/>
          </w:tcPr>
          <w:p w:rsidR="005C15F3" w:rsidRPr="00057880" w:rsidRDefault="005C15F3" w:rsidP="00057880">
            <w:pPr>
              <w:keepNext/>
              <w:spacing w:after="240"/>
              <w:rPr>
                <w:rFonts w:ascii="Arial" w:hAnsi="Arial" w:cs="Arial"/>
                <w:sz w:val="20"/>
                <w:szCs w:val="20"/>
              </w:rPr>
            </w:pPr>
            <w:r w:rsidRPr="00057880">
              <w:rPr>
                <w:rFonts w:ascii="Arial" w:hAnsi="Arial" w:cs="Arial"/>
                <w:sz w:val="20"/>
                <w:szCs w:val="20"/>
              </w:rPr>
              <w:t>273 200</w:t>
            </w:r>
          </w:p>
        </w:tc>
        <w:tc>
          <w:tcPr>
            <w:tcW w:w="1156" w:type="dxa"/>
            <w:tcBorders>
              <w:top w:val="single" w:sz="12" w:space="0" w:color="auto"/>
              <w:left w:val="nil"/>
              <w:bottom w:val="dotted" w:sz="4" w:space="0" w:color="auto"/>
              <w:right w:val="nil"/>
            </w:tcBorders>
            <w:shd w:val="clear" w:color="auto" w:fill="auto"/>
            <w:hideMark/>
          </w:tcPr>
          <w:p w:rsidR="005C15F3" w:rsidRPr="00057880" w:rsidRDefault="005C15F3" w:rsidP="00057880">
            <w:pPr>
              <w:keepNext/>
              <w:spacing w:after="240"/>
              <w:rPr>
                <w:rFonts w:ascii="Arial" w:hAnsi="Arial" w:cs="Arial"/>
                <w:sz w:val="20"/>
                <w:szCs w:val="20"/>
              </w:rPr>
            </w:pPr>
            <w:r w:rsidRPr="00057880">
              <w:rPr>
                <w:rFonts w:ascii="Arial" w:hAnsi="Arial" w:cs="Arial"/>
                <w:sz w:val="20"/>
                <w:szCs w:val="20"/>
              </w:rPr>
              <w:t>99 400</w:t>
            </w:r>
          </w:p>
        </w:tc>
        <w:tc>
          <w:tcPr>
            <w:tcW w:w="1156" w:type="dxa"/>
            <w:tcBorders>
              <w:top w:val="single" w:sz="12" w:space="0" w:color="auto"/>
              <w:left w:val="nil"/>
              <w:bottom w:val="dotted" w:sz="4" w:space="0" w:color="auto"/>
              <w:right w:val="nil"/>
            </w:tcBorders>
            <w:shd w:val="clear" w:color="auto" w:fill="auto"/>
            <w:hideMark/>
          </w:tcPr>
          <w:p w:rsidR="005C15F3" w:rsidRPr="00057880" w:rsidRDefault="005C15F3" w:rsidP="00057880">
            <w:pPr>
              <w:keepNext/>
              <w:spacing w:after="240"/>
              <w:rPr>
                <w:rFonts w:ascii="Arial" w:hAnsi="Arial" w:cs="Arial"/>
                <w:sz w:val="20"/>
                <w:szCs w:val="20"/>
              </w:rPr>
            </w:pPr>
            <w:r w:rsidRPr="00057880">
              <w:rPr>
                <w:rFonts w:ascii="Arial" w:hAnsi="Arial" w:cs="Arial"/>
                <w:sz w:val="20"/>
                <w:szCs w:val="20"/>
              </w:rPr>
              <w:t>10 800</w:t>
            </w:r>
          </w:p>
        </w:tc>
        <w:tc>
          <w:tcPr>
            <w:tcW w:w="1156" w:type="dxa"/>
            <w:tcBorders>
              <w:top w:val="single" w:sz="12" w:space="0" w:color="auto"/>
              <w:left w:val="nil"/>
              <w:bottom w:val="dotted" w:sz="4" w:space="0" w:color="auto"/>
              <w:right w:val="nil"/>
            </w:tcBorders>
            <w:shd w:val="clear" w:color="auto" w:fill="auto"/>
            <w:hideMark/>
          </w:tcPr>
          <w:p w:rsidR="005C15F3" w:rsidRPr="00057880" w:rsidRDefault="005C15F3" w:rsidP="00057880">
            <w:pPr>
              <w:keepNext/>
              <w:spacing w:after="240"/>
              <w:rPr>
                <w:rFonts w:ascii="Arial" w:hAnsi="Arial" w:cs="Arial"/>
                <w:sz w:val="20"/>
                <w:szCs w:val="20"/>
              </w:rPr>
            </w:pPr>
            <w:r w:rsidRPr="00057880">
              <w:rPr>
                <w:rFonts w:ascii="Arial" w:hAnsi="Arial" w:cs="Arial"/>
                <w:sz w:val="20"/>
                <w:szCs w:val="20"/>
              </w:rPr>
              <w:t>-</w:t>
            </w:r>
          </w:p>
        </w:tc>
        <w:tc>
          <w:tcPr>
            <w:tcW w:w="1156" w:type="dxa"/>
            <w:tcBorders>
              <w:top w:val="single" w:sz="12" w:space="0" w:color="auto"/>
              <w:left w:val="nil"/>
              <w:bottom w:val="dotted" w:sz="4" w:space="0" w:color="auto"/>
              <w:right w:val="nil"/>
            </w:tcBorders>
            <w:shd w:val="clear" w:color="auto" w:fill="auto"/>
            <w:hideMark/>
          </w:tcPr>
          <w:p w:rsidR="005C15F3" w:rsidRPr="00057880" w:rsidRDefault="005C15F3" w:rsidP="00057880">
            <w:pPr>
              <w:keepNext/>
              <w:spacing w:after="240"/>
              <w:rPr>
                <w:rFonts w:ascii="Arial" w:hAnsi="Arial" w:cs="Arial"/>
                <w:sz w:val="20"/>
                <w:szCs w:val="20"/>
              </w:rPr>
            </w:pPr>
            <w:r w:rsidRPr="00057880">
              <w:rPr>
                <w:rFonts w:ascii="Arial" w:hAnsi="Arial" w:cs="Arial"/>
                <w:sz w:val="20"/>
                <w:szCs w:val="20"/>
              </w:rPr>
              <w:t>43 400</w:t>
            </w:r>
          </w:p>
        </w:tc>
        <w:tc>
          <w:tcPr>
            <w:tcW w:w="1156" w:type="dxa"/>
            <w:tcBorders>
              <w:top w:val="single" w:sz="12" w:space="0" w:color="auto"/>
              <w:left w:val="nil"/>
              <w:bottom w:val="dotted" w:sz="4" w:space="0" w:color="auto"/>
              <w:right w:val="nil"/>
            </w:tcBorders>
            <w:shd w:val="clear" w:color="auto" w:fill="auto"/>
            <w:hideMark/>
          </w:tcPr>
          <w:p w:rsidR="005C15F3" w:rsidRPr="00057880" w:rsidRDefault="005C15F3" w:rsidP="00057880">
            <w:pPr>
              <w:keepNext/>
              <w:spacing w:after="240"/>
              <w:rPr>
                <w:rFonts w:ascii="Arial" w:hAnsi="Arial" w:cs="Arial"/>
                <w:sz w:val="20"/>
                <w:szCs w:val="20"/>
              </w:rPr>
            </w:pPr>
            <w:r w:rsidRPr="00057880">
              <w:rPr>
                <w:rFonts w:ascii="Arial" w:hAnsi="Arial" w:cs="Arial"/>
                <w:sz w:val="20"/>
                <w:szCs w:val="20"/>
              </w:rPr>
              <w:t>11 500</w:t>
            </w:r>
          </w:p>
        </w:tc>
      </w:tr>
      <w:tr w:rsidR="00057880" w:rsidRPr="003B5053" w:rsidTr="00057880">
        <w:tc>
          <w:tcPr>
            <w:tcW w:w="1155" w:type="dxa"/>
            <w:tcBorders>
              <w:top w:val="dotted" w:sz="4" w:space="0" w:color="auto"/>
              <w:left w:val="nil"/>
              <w:bottom w:val="single" w:sz="12" w:space="0" w:color="auto"/>
              <w:right w:val="nil"/>
            </w:tcBorders>
            <w:shd w:val="clear" w:color="auto" w:fill="auto"/>
            <w:hideMark/>
          </w:tcPr>
          <w:p w:rsidR="005C15F3" w:rsidRPr="00057880" w:rsidRDefault="005C15F3" w:rsidP="00057880">
            <w:pPr>
              <w:spacing w:after="240"/>
              <w:rPr>
                <w:rFonts w:ascii="Arial" w:hAnsi="Arial" w:cs="Arial"/>
                <w:sz w:val="20"/>
                <w:szCs w:val="20"/>
              </w:rPr>
            </w:pPr>
            <w:r w:rsidRPr="00057880">
              <w:rPr>
                <w:rFonts w:ascii="Arial" w:hAnsi="Arial" w:cs="Arial"/>
                <w:sz w:val="20"/>
                <w:szCs w:val="20"/>
              </w:rPr>
              <w:t>All cancers</w:t>
            </w:r>
          </w:p>
        </w:tc>
        <w:tc>
          <w:tcPr>
            <w:tcW w:w="1155" w:type="dxa"/>
            <w:tcBorders>
              <w:top w:val="dotted" w:sz="4" w:space="0" w:color="auto"/>
              <w:left w:val="nil"/>
              <w:bottom w:val="single" w:sz="12" w:space="0" w:color="auto"/>
              <w:right w:val="nil"/>
            </w:tcBorders>
            <w:shd w:val="clear" w:color="auto" w:fill="auto"/>
            <w:hideMark/>
          </w:tcPr>
          <w:p w:rsidR="005C15F3" w:rsidRPr="00057880" w:rsidRDefault="005C15F3" w:rsidP="00057880">
            <w:pPr>
              <w:spacing w:after="240"/>
              <w:rPr>
                <w:rFonts w:ascii="Arial" w:hAnsi="Arial" w:cs="Arial"/>
                <w:sz w:val="20"/>
                <w:szCs w:val="20"/>
              </w:rPr>
            </w:pPr>
            <w:r w:rsidRPr="00057880">
              <w:rPr>
                <w:rFonts w:ascii="Arial" w:hAnsi="Arial" w:cs="Arial"/>
                <w:sz w:val="20"/>
                <w:szCs w:val="20"/>
              </w:rPr>
              <w:t>47 200</w:t>
            </w:r>
          </w:p>
        </w:tc>
        <w:tc>
          <w:tcPr>
            <w:tcW w:w="1155" w:type="dxa"/>
            <w:tcBorders>
              <w:top w:val="dotted" w:sz="4" w:space="0" w:color="auto"/>
              <w:left w:val="nil"/>
              <w:bottom w:val="single" w:sz="12" w:space="0" w:color="auto"/>
              <w:right w:val="nil"/>
            </w:tcBorders>
            <w:shd w:val="clear" w:color="auto" w:fill="auto"/>
            <w:hideMark/>
          </w:tcPr>
          <w:p w:rsidR="005C15F3" w:rsidRPr="00057880" w:rsidRDefault="005C15F3" w:rsidP="00057880">
            <w:pPr>
              <w:spacing w:after="240"/>
              <w:rPr>
                <w:rFonts w:ascii="Arial" w:hAnsi="Arial" w:cs="Arial"/>
                <w:sz w:val="20"/>
                <w:szCs w:val="20"/>
              </w:rPr>
            </w:pPr>
            <w:r w:rsidRPr="00057880">
              <w:rPr>
                <w:rFonts w:ascii="Arial" w:hAnsi="Arial" w:cs="Arial"/>
                <w:sz w:val="20"/>
                <w:szCs w:val="20"/>
              </w:rPr>
              <w:t>308 500</w:t>
            </w:r>
          </w:p>
        </w:tc>
        <w:tc>
          <w:tcPr>
            <w:tcW w:w="1156" w:type="dxa"/>
            <w:tcBorders>
              <w:top w:val="dotted" w:sz="4" w:space="0" w:color="auto"/>
              <w:left w:val="nil"/>
              <w:bottom w:val="single" w:sz="12" w:space="0" w:color="auto"/>
              <w:right w:val="nil"/>
            </w:tcBorders>
            <w:shd w:val="clear" w:color="auto" w:fill="auto"/>
            <w:hideMark/>
          </w:tcPr>
          <w:p w:rsidR="005C15F3" w:rsidRPr="00057880" w:rsidRDefault="005C15F3" w:rsidP="00057880">
            <w:pPr>
              <w:spacing w:after="240"/>
              <w:rPr>
                <w:rFonts w:ascii="Arial" w:hAnsi="Arial" w:cs="Arial"/>
                <w:sz w:val="20"/>
                <w:szCs w:val="20"/>
              </w:rPr>
            </w:pPr>
            <w:r w:rsidRPr="00057880">
              <w:rPr>
                <w:rFonts w:ascii="Arial" w:hAnsi="Arial" w:cs="Arial"/>
                <w:sz w:val="20"/>
                <w:szCs w:val="20"/>
              </w:rPr>
              <w:t>137 400</w:t>
            </w:r>
          </w:p>
        </w:tc>
        <w:tc>
          <w:tcPr>
            <w:tcW w:w="1156" w:type="dxa"/>
            <w:tcBorders>
              <w:top w:val="dotted" w:sz="4" w:space="0" w:color="auto"/>
              <w:left w:val="nil"/>
              <w:bottom w:val="single" w:sz="12" w:space="0" w:color="auto"/>
              <w:right w:val="nil"/>
            </w:tcBorders>
            <w:shd w:val="clear" w:color="auto" w:fill="auto"/>
            <w:hideMark/>
          </w:tcPr>
          <w:p w:rsidR="005C15F3" w:rsidRPr="00057880" w:rsidRDefault="005C15F3" w:rsidP="00057880">
            <w:pPr>
              <w:spacing w:after="240"/>
              <w:rPr>
                <w:rFonts w:ascii="Arial" w:hAnsi="Arial" w:cs="Arial"/>
                <w:sz w:val="20"/>
                <w:szCs w:val="20"/>
              </w:rPr>
            </w:pPr>
            <w:r w:rsidRPr="00057880">
              <w:rPr>
                <w:rFonts w:ascii="Arial" w:hAnsi="Arial" w:cs="Arial"/>
                <w:sz w:val="20"/>
                <w:szCs w:val="20"/>
              </w:rPr>
              <w:t>13 400</w:t>
            </w:r>
          </w:p>
        </w:tc>
        <w:tc>
          <w:tcPr>
            <w:tcW w:w="1156" w:type="dxa"/>
            <w:tcBorders>
              <w:top w:val="dotted" w:sz="4" w:space="0" w:color="auto"/>
              <w:left w:val="nil"/>
              <w:bottom w:val="single" w:sz="12" w:space="0" w:color="auto"/>
              <w:right w:val="nil"/>
            </w:tcBorders>
            <w:shd w:val="clear" w:color="auto" w:fill="auto"/>
            <w:hideMark/>
          </w:tcPr>
          <w:p w:rsidR="005C15F3" w:rsidRPr="00057880" w:rsidRDefault="005C15F3" w:rsidP="00057880">
            <w:pPr>
              <w:spacing w:after="240"/>
              <w:rPr>
                <w:rFonts w:ascii="Arial" w:hAnsi="Arial" w:cs="Arial"/>
                <w:sz w:val="20"/>
                <w:szCs w:val="20"/>
              </w:rPr>
            </w:pPr>
            <w:r w:rsidRPr="00057880">
              <w:rPr>
                <w:rFonts w:ascii="Arial" w:hAnsi="Arial" w:cs="Arial"/>
                <w:sz w:val="20"/>
                <w:szCs w:val="20"/>
              </w:rPr>
              <w:t>154 000</w:t>
            </w:r>
          </w:p>
        </w:tc>
        <w:tc>
          <w:tcPr>
            <w:tcW w:w="1156" w:type="dxa"/>
            <w:tcBorders>
              <w:top w:val="dotted" w:sz="4" w:space="0" w:color="auto"/>
              <w:left w:val="nil"/>
              <w:bottom w:val="single" w:sz="12" w:space="0" w:color="auto"/>
              <w:right w:val="nil"/>
            </w:tcBorders>
            <w:shd w:val="clear" w:color="auto" w:fill="auto"/>
            <w:hideMark/>
          </w:tcPr>
          <w:p w:rsidR="005C15F3" w:rsidRPr="00057880" w:rsidRDefault="005C15F3" w:rsidP="00057880">
            <w:pPr>
              <w:spacing w:after="240"/>
              <w:rPr>
                <w:rFonts w:ascii="Arial" w:hAnsi="Arial" w:cs="Arial"/>
                <w:sz w:val="20"/>
                <w:szCs w:val="20"/>
              </w:rPr>
            </w:pPr>
            <w:r w:rsidRPr="00057880">
              <w:rPr>
                <w:rFonts w:ascii="Arial" w:hAnsi="Arial" w:cs="Arial"/>
                <w:sz w:val="20"/>
                <w:szCs w:val="20"/>
              </w:rPr>
              <w:t>51 500</w:t>
            </w:r>
          </w:p>
        </w:tc>
        <w:tc>
          <w:tcPr>
            <w:tcW w:w="1156" w:type="dxa"/>
            <w:tcBorders>
              <w:top w:val="dotted" w:sz="4" w:space="0" w:color="auto"/>
              <w:left w:val="nil"/>
              <w:bottom w:val="single" w:sz="12" w:space="0" w:color="auto"/>
              <w:right w:val="nil"/>
            </w:tcBorders>
            <w:shd w:val="clear" w:color="auto" w:fill="auto"/>
            <w:hideMark/>
          </w:tcPr>
          <w:p w:rsidR="005C15F3" w:rsidRPr="00057880" w:rsidRDefault="005C15F3" w:rsidP="00057880">
            <w:pPr>
              <w:spacing w:after="240"/>
              <w:rPr>
                <w:rFonts w:ascii="Arial" w:hAnsi="Arial" w:cs="Arial"/>
                <w:sz w:val="20"/>
                <w:szCs w:val="20"/>
              </w:rPr>
            </w:pPr>
            <w:r w:rsidRPr="00057880">
              <w:rPr>
                <w:rFonts w:ascii="Arial" w:hAnsi="Arial" w:cs="Arial"/>
                <w:sz w:val="20"/>
                <w:szCs w:val="20"/>
              </w:rPr>
              <w:t>10 600</w:t>
            </w:r>
          </w:p>
        </w:tc>
      </w:tr>
    </w:tbl>
    <w:p w:rsidR="005C15F3" w:rsidRPr="00690F06" w:rsidRDefault="005C15F3" w:rsidP="005C15F3">
      <w:pPr>
        <w:rPr>
          <w:rFonts w:ascii="Arial" w:hAnsi="Arial" w:cs="Arial"/>
        </w:rPr>
      </w:pPr>
    </w:p>
    <w:p w:rsidR="00EF1EA3" w:rsidRPr="00057880" w:rsidRDefault="005C15F3" w:rsidP="009278D5">
      <w:pPr>
        <w:pStyle w:val="Heading1"/>
        <w:spacing w:after="240"/>
        <w:rPr>
          <w:rFonts w:ascii="Lucida Fax" w:hAnsi="Lucida Fax"/>
        </w:rPr>
      </w:pPr>
      <w:r>
        <w:br w:type="page"/>
      </w:r>
      <w:bookmarkStart w:id="109" w:name="_Toc412196650"/>
      <w:r w:rsidR="00E91CD0" w:rsidRPr="00057880">
        <w:rPr>
          <w:rFonts w:ascii="Lucida Fax" w:hAnsi="Lucida Fax"/>
          <w:lang w:val="en-AU"/>
        </w:rPr>
        <w:lastRenderedPageBreak/>
        <w:t>Attachment </w:t>
      </w:r>
      <w:r w:rsidRPr="00057880">
        <w:rPr>
          <w:rFonts w:ascii="Lucida Fax" w:hAnsi="Lucida Fax"/>
          <w:lang w:val="en-AU"/>
        </w:rPr>
        <w:t>4</w:t>
      </w:r>
      <w:r w:rsidR="0078383B" w:rsidRPr="00057880">
        <w:rPr>
          <w:rFonts w:ascii="Lucida Fax" w:hAnsi="Lucida Fax"/>
          <w:lang w:val="en-AU"/>
        </w:rPr>
        <w:t>:</w:t>
      </w:r>
      <w:r w:rsidR="0078383B" w:rsidRPr="00057880">
        <w:rPr>
          <w:rFonts w:ascii="Lucida Fax" w:hAnsi="Lucida Fax"/>
          <w:lang w:val="en-AU"/>
        </w:rPr>
        <w:tab/>
      </w:r>
      <w:r w:rsidR="00EF1EA3" w:rsidRPr="00057880">
        <w:rPr>
          <w:rFonts w:ascii="Lucida Fax" w:hAnsi="Lucida Fax"/>
          <w:lang w:val="en-AU"/>
        </w:rPr>
        <w:t>Chemicals and textiles</w:t>
      </w:r>
      <w:bookmarkEnd w:id="109"/>
    </w:p>
    <w:p w:rsidR="00EF1EA3" w:rsidRPr="00690F06" w:rsidRDefault="00EF1EA3" w:rsidP="00EF1EA3">
      <w:pPr>
        <w:autoSpaceDE w:val="0"/>
        <w:autoSpaceDN w:val="0"/>
        <w:adjustRightInd w:val="0"/>
        <w:rPr>
          <w:rFonts w:ascii="Arial" w:hAnsi="Arial" w:cs="Arial"/>
        </w:rPr>
      </w:pPr>
      <w:r w:rsidRPr="00690F06">
        <w:rPr>
          <w:rFonts w:ascii="Arial" w:hAnsi="Arial" w:cs="Arial"/>
        </w:rPr>
        <w:t>Industrial chemicals</w:t>
      </w:r>
      <w:r w:rsidRPr="00690F06">
        <w:rPr>
          <w:rStyle w:val="FootnoteReference"/>
          <w:rFonts w:ascii="Arial" w:hAnsi="Arial" w:cs="Arial"/>
        </w:rPr>
        <w:footnoteReference w:id="81"/>
      </w:r>
      <w:r w:rsidRPr="00690F06">
        <w:rPr>
          <w:rFonts w:ascii="Arial" w:hAnsi="Arial" w:cs="Arial"/>
        </w:rPr>
        <w:t xml:space="preserve"> are important in our modern economy, but at the same time they can present risks for public health, workplace safety, the environment, and national security. To manage these risks regulation is an important tool,</w:t>
      </w:r>
      <w:r w:rsidRPr="00690F06">
        <w:rPr>
          <w:rStyle w:val="FootnoteReference"/>
          <w:rFonts w:ascii="Arial" w:hAnsi="Arial" w:cs="Arial"/>
        </w:rPr>
        <w:footnoteReference w:id="82"/>
      </w:r>
      <w:r w:rsidRPr="00690F06">
        <w:rPr>
          <w:rFonts w:ascii="Arial" w:hAnsi="Arial" w:cs="Arial"/>
        </w:rPr>
        <w:t xml:space="preserve"> and there are several grounds for government policy intervention. Significant negative externalities</w:t>
      </w:r>
      <w:r w:rsidRPr="00690F06">
        <w:rPr>
          <w:rStyle w:val="FootnoteReference"/>
          <w:rFonts w:ascii="Arial" w:hAnsi="Arial" w:cs="Arial"/>
        </w:rPr>
        <w:footnoteReference w:id="83"/>
      </w:r>
      <w:r w:rsidRPr="00690F06">
        <w:rPr>
          <w:rFonts w:ascii="Arial" w:hAnsi="Arial" w:cs="Arial"/>
        </w:rPr>
        <w:t xml:space="preserve"> and information asymmetries exist concerning the risks associated with the hazardous nature of some chemicals or products which may contain them. </w:t>
      </w:r>
      <w:r w:rsidRPr="00690F06">
        <w:rPr>
          <w:rFonts w:ascii="Arial" w:hAnsi="Arial" w:cs="Arial"/>
          <w:color w:val="000000"/>
          <w:lang w:eastAsia="en-AU"/>
        </w:rPr>
        <w:t>Also, i</w:t>
      </w:r>
      <w:r w:rsidRPr="00690F06">
        <w:rPr>
          <w:rFonts w:ascii="Arial" w:hAnsi="Arial" w:cs="Arial"/>
          <w:color w:val="000000"/>
        </w:rPr>
        <w:t xml:space="preserve">f there are chemical hazards in consumer goods, it is </w:t>
      </w:r>
      <w:r w:rsidR="009F1FDF">
        <w:rPr>
          <w:rFonts w:ascii="Arial" w:hAnsi="Arial" w:cs="Arial"/>
          <w:color w:val="000000"/>
        </w:rPr>
        <w:t xml:space="preserve">often </w:t>
      </w:r>
      <w:r w:rsidRPr="00690F06">
        <w:rPr>
          <w:rFonts w:ascii="Arial" w:hAnsi="Arial" w:cs="Arial"/>
          <w:color w:val="000000"/>
        </w:rPr>
        <w:t>difficult for consumers to detect them. If consumers are being exposed to risks they are ill-equipped to deal with, this is relevant for considering the need for government intervention.</w:t>
      </w:r>
      <w:r w:rsidRPr="00690F06">
        <w:rPr>
          <w:rStyle w:val="FootnoteReference"/>
          <w:rFonts w:ascii="Arial" w:hAnsi="Arial" w:cs="Arial"/>
          <w:color w:val="000000"/>
        </w:rPr>
        <w:footnoteReference w:id="84"/>
      </w:r>
      <w:r w:rsidRPr="00690F06">
        <w:rPr>
          <w:rFonts w:ascii="Arial" w:hAnsi="Arial" w:cs="Arial"/>
          <w:color w:val="000000"/>
        </w:rPr>
        <w:t xml:space="preserve"> </w:t>
      </w:r>
      <w:r w:rsidRPr="00690F06">
        <w:rPr>
          <w:rFonts w:ascii="Arial" w:hAnsi="Arial" w:cs="Arial"/>
        </w:rPr>
        <w:t>There is also a public good argument that protection of public health is underprovided by the private sector.</w:t>
      </w:r>
      <w:r w:rsidRPr="00690F06">
        <w:rPr>
          <w:rStyle w:val="FootnoteReference"/>
          <w:rFonts w:ascii="Arial" w:hAnsi="Arial" w:cs="Arial"/>
        </w:rPr>
        <w:footnoteReference w:id="85"/>
      </w:r>
      <w:r w:rsidRPr="00690F06">
        <w:rPr>
          <w:rFonts w:ascii="Arial" w:hAnsi="Arial" w:cs="Arial"/>
        </w:rPr>
        <w:t xml:space="preserve"> Public health has been identified as one of four significant areas of public policy concern that relate to the hazardous nature of some chemicals.</w:t>
      </w:r>
      <w:r w:rsidRPr="00690F06">
        <w:rPr>
          <w:rStyle w:val="FootnoteReference"/>
          <w:rFonts w:ascii="Arial" w:hAnsi="Arial" w:cs="Arial"/>
        </w:rPr>
        <w:footnoteReference w:id="86"/>
      </w:r>
    </w:p>
    <w:p w:rsidR="00EF1EA3" w:rsidRPr="00690F06" w:rsidRDefault="00EF1EA3" w:rsidP="00EF1EA3">
      <w:pPr>
        <w:autoSpaceDE w:val="0"/>
        <w:autoSpaceDN w:val="0"/>
        <w:adjustRightInd w:val="0"/>
        <w:rPr>
          <w:rFonts w:ascii="Arial" w:hAnsi="Arial" w:cs="Arial"/>
          <w:b/>
        </w:rPr>
      </w:pPr>
    </w:p>
    <w:p w:rsidR="00EF1EA3" w:rsidRPr="00690F06" w:rsidRDefault="00EF1EA3" w:rsidP="00EF1EA3">
      <w:pPr>
        <w:autoSpaceDE w:val="0"/>
        <w:autoSpaceDN w:val="0"/>
        <w:adjustRightInd w:val="0"/>
        <w:rPr>
          <w:rFonts w:ascii="Arial" w:hAnsi="Arial" w:cs="Arial"/>
          <w:lang w:eastAsia="en-AU"/>
        </w:rPr>
      </w:pPr>
      <w:r w:rsidRPr="00690F06">
        <w:rPr>
          <w:rFonts w:ascii="Arial" w:hAnsi="Arial" w:cs="Arial"/>
          <w:lang w:eastAsia="en-AU"/>
        </w:rPr>
        <w:t>The textiles sector produces clothing and other tex</w:t>
      </w:r>
      <w:r w:rsidR="009F1FDF">
        <w:rPr>
          <w:rFonts w:ascii="Arial" w:hAnsi="Arial" w:cs="Arial"/>
          <w:lang w:eastAsia="en-AU"/>
        </w:rPr>
        <w:t xml:space="preserve">tiles that </w:t>
      </w:r>
      <w:r w:rsidRPr="00690F06">
        <w:rPr>
          <w:rFonts w:ascii="Arial" w:hAnsi="Arial" w:cs="Arial"/>
          <w:lang w:eastAsia="en-AU"/>
        </w:rPr>
        <w:t>everyone comes into contact with. The sector is important for the global economy and is also one of the most globalised.</w:t>
      </w:r>
      <w:r w:rsidRPr="00690F06">
        <w:rPr>
          <w:rStyle w:val="FootnoteReference"/>
          <w:rFonts w:ascii="Arial" w:hAnsi="Arial" w:cs="Arial"/>
          <w:lang w:eastAsia="en-AU"/>
        </w:rPr>
        <w:footnoteReference w:id="87"/>
      </w:r>
      <w:r w:rsidRPr="00690F06">
        <w:rPr>
          <w:rFonts w:ascii="Arial" w:hAnsi="Arial" w:cs="Arial"/>
          <w:lang w:eastAsia="en-AU"/>
        </w:rPr>
        <w:t xml:space="preserve"> In recent years attention has increased on chemicals in textiles products. Chemicals are used both for fibre production and during the manufacturing process and it is suggested that:</w:t>
      </w:r>
    </w:p>
    <w:p w:rsidR="00EF1EA3" w:rsidRPr="00690F06" w:rsidRDefault="00EF1EA3" w:rsidP="00EF1EA3">
      <w:pPr>
        <w:numPr>
          <w:ilvl w:val="0"/>
          <w:numId w:val="42"/>
        </w:numPr>
        <w:autoSpaceDE w:val="0"/>
        <w:autoSpaceDN w:val="0"/>
        <w:adjustRightInd w:val="0"/>
        <w:spacing w:before="120"/>
        <w:ind w:left="357" w:hanging="357"/>
        <w:rPr>
          <w:rFonts w:ascii="Arial" w:hAnsi="Arial" w:cs="Arial"/>
          <w:lang w:eastAsia="en-AU"/>
        </w:rPr>
      </w:pPr>
      <w:r w:rsidRPr="00690F06">
        <w:rPr>
          <w:rFonts w:ascii="Arial" w:hAnsi="Arial" w:cs="Arial"/>
          <w:lang w:eastAsia="en-AU"/>
        </w:rPr>
        <w:t>there is growing awareness and concern of real or potential safety issues related to chemicals in consumer products generally including those in textiles</w:t>
      </w:r>
    </w:p>
    <w:p w:rsidR="00EF1EA3" w:rsidRPr="00690F06" w:rsidRDefault="00EF1EA3" w:rsidP="00EF1EA3">
      <w:pPr>
        <w:numPr>
          <w:ilvl w:val="0"/>
          <w:numId w:val="42"/>
        </w:numPr>
        <w:autoSpaceDE w:val="0"/>
        <w:autoSpaceDN w:val="0"/>
        <w:adjustRightInd w:val="0"/>
        <w:rPr>
          <w:rFonts w:ascii="Arial" w:hAnsi="Arial" w:cs="Arial"/>
          <w:lang w:eastAsia="en-AU"/>
        </w:rPr>
      </w:pPr>
      <w:proofErr w:type="gramStart"/>
      <w:r w:rsidRPr="00690F06">
        <w:rPr>
          <w:rFonts w:ascii="Arial" w:hAnsi="Arial" w:cs="Arial"/>
          <w:lang w:eastAsia="en-AU"/>
        </w:rPr>
        <w:t>the</w:t>
      </w:r>
      <w:proofErr w:type="gramEnd"/>
      <w:r w:rsidRPr="00690F06">
        <w:rPr>
          <w:rFonts w:ascii="Arial" w:hAnsi="Arial" w:cs="Arial"/>
          <w:lang w:eastAsia="en-AU"/>
        </w:rPr>
        <w:t xml:space="preserve"> general community is more aware of the hazards associated with chemicals used in the sector, particularly in countries which have established chemical disclosure requirements when placing goods into markets.</w:t>
      </w:r>
      <w:r w:rsidRPr="00690F06">
        <w:rPr>
          <w:rStyle w:val="FootnoteReference"/>
          <w:rFonts w:ascii="Arial" w:hAnsi="Arial" w:cs="Arial"/>
          <w:lang w:eastAsia="en-AU"/>
        </w:rPr>
        <w:footnoteReference w:id="88"/>
      </w:r>
    </w:p>
    <w:p w:rsidR="00EF1EA3" w:rsidRPr="00690F06" w:rsidRDefault="00EF1EA3" w:rsidP="00EF1EA3">
      <w:pPr>
        <w:autoSpaceDE w:val="0"/>
        <w:autoSpaceDN w:val="0"/>
        <w:adjustRightInd w:val="0"/>
        <w:rPr>
          <w:rFonts w:ascii="Arial" w:hAnsi="Arial" w:cs="Arial"/>
          <w:lang w:eastAsia="en-AU"/>
        </w:rPr>
      </w:pPr>
    </w:p>
    <w:p w:rsidR="00EF1EA3" w:rsidRPr="00690F06" w:rsidRDefault="00EF1EA3" w:rsidP="00EF1EA3">
      <w:pPr>
        <w:autoSpaceDE w:val="0"/>
        <w:autoSpaceDN w:val="0"/>
        <w:adjustRightInd w:val="0"/>
        <w:rPr>
          <w:rFonts w:ascii="Arial" w:hAnsi="Arial" w:cs="Arial"/>
          <w:color w:val="000000"/>
          <w:lang w:eastAsia="en-AU"/>
        </w:rPr>
      </w:pPr>
      <w:r w:rsidRPr="00690F06">
        <w:rPr>
          <w:rFonts w:ascii="Arial" w:hAnsi="Arial" w:cs="Arial"/>
          <w:color w:val="000000"/>
          <w:lang w:eastAsia="en-AU"/>
        </w:rPr>
        <w:t xml:space="preserve">Europe has regulated </w:t>
      </w:r>
      <w:r w:rsidRPr="00690F06">
        <w:rPr>
          <w:rFonts w:ascii="Arial" w:hAnsi="Arial" w:cs="Arial"/>
        </w:rPr>
        <w:t>hazardous azo dyes</w:t>
      </w:r>
      <w:r w:rsidRPr="00690F06">
        <w:rPr>
          <w:rFonts w:ascii="Arial" w:hAnsi="Arial" w:cs="Arial"/>
          <w:color w:val="000000"/>
          <w:lang w:eastAsia="en-AU"/>
        </w:rPr>
        <w:t xml:space="preserve"> since 2003 and consumer attitudes to incidental contact with chemicals are routinely surveyed by the European Commission (EU). In 2012 one survey revealed that three out of 10 respondents thought that it was </w:t>
      </w:r>
      <w:r w:rsidRPr="00690F06">
        <w:rPr>
          <w:rFonts w:ascii="Arial" w:hAnsi="Arial" w:cs="Arial"/>
          <w:lang w:eastAsia="en-AU"/>
        </w:rPr>
        <w:t>possible to completely eliminate chemical substances from their daily life whil</w:t>
      </w:r>
      <w:r w:rsidR="00E32B6F">
        <w:rPr>
          <w:rFonts w:ascii="Arial" w:hAnsi="Arial" w:cs="Arial"/>
          <w:lang w:eastAsia="en-AU"/>
        </w:rPr>
        <w:t>e</w:t>
      </w:r>
      <w:r w:rsidRPr="00690F06">
        <w:rPr>
          <w:rFonts w:ascii="Arial" w:hAnsi="Arial" w:cs="Arial"/>
          <w:lang w:eastAsia="en-AU"/>
        </w:rPr>
        <w:t xml:space="preserve"> seven in 10 said that it was not possible.</w:t>
      </w:r>
      <w:r w:rsidRPr="00690F06">
        <w:rPr>
          <w:rStyle w:val="FootnoteReference"/>
          <w:rFonts w:ascii="Arial" w:hAnsi="Arial" w:cs="Arial"/>
          <w:lang w:eastAsia="en-AU"/>
        </w:rPr>
        <w:footnoteReference w:id="89"/>
      </w:r>
      <w:r w:rsidRPr="00690F06">
        <w:rPr>
          <w:rFonts w:ascii="Arial" w:hAnsi="Arial" w:cs="Arial"/>
          <w:lang w:eastAsia="en-AU"/>
        </w:rPr>
        <w:t xml:space="preserve"> Other </w:t>
      </w:r>
      <w:r w:rsidRPr="00690F06">
        <w:rPr>
          <w:rFonts w:ascii="Arial" w:hAnsi="Arial" w:cs="Arial"/>
          <w:color w:val="000000"/>
          <w:lang w:eastAsia="en-AU"/>
        </w:rPr>
        <w:t xml:space="preserve">European studies identify that </w:t>
      </w:r>
      <w:r w:rsidRPr="00690F06">
        <w:rPr>
          <w:rFonts w:ascii="Arial" w:hAnsi="Arial" w:cs="Arial"/>
          <w:color w:val="000000"/>
        </w:rPr>
        <w:t>consumers consider exposure to e</w:t>
      </w:r>
      <w:r w:rsidRPr="00690F06">
        <w:rPr>
          <w:rFonts w:ascii="Arial" w:hAnsi="Arial" w:cs="Arial"/>
          <w:bCs/>
          <w:iCs/>
          <w:color w:val="000000"/>
          <w:lang w:eastAsia="en-AU"/>
        </w:rPr>
        <w:t>ven a small amount of a hazardous chemical to be potentially harmful.</w:t>
      </w:r>
      <w:r w:rsidRPr="00690F06">
        <w:rPr>
          <w:rStyle w:val="FootnoteReference"/>
          <w:rFonts w:ascii="Arial" w:hAnsi="Arial" w:cs="Arial"/>
          <w:bCs/>
          <w:iCs/>
          <w:color w:val="000000"/>
          <w:lang w:eastAsia="en-AU"/>
        </w:rPr>
        <w:footnoteReference w:id="90"/>
      </w:r>
      <w:r w:rsidRPr="00690F06">
        <w:rPr>
          <w:rFonts w:ascii="Arial" w:hAnsi="Arial" w:cs="Arial"/>
          <w:color w:val="000000"/>
          <w:lang w:eastAsia="en-AU"/>
        </w:rPr>
        <w:t xml:space="preserve"> </w:t>
      </w:r>
    </w:p>
    <w:p w:rsidR="00EF1EA3" w:rsidRPr="00690F06" w:rsidRDefault="00EF1EA3" w:rsidP="00EF1EA3">
      <w:pPr>
        <w:rPr>
          <w:rFonts w:ascii="Arial" w:hAnsi="Arial" w:cs="Arial"/>
          <w:color w:val="000000"/>
        </w:rPr>
      </w:pPr>
    </w:p>
    <w:p w:rsidR="00EF1EA3" w:rsidRPr="00690F06" w:rsidRDefault="00EF1EA3" w:rsidP="00EF1EA3">
      <w:pPr>
        <w:rPr>
          <w:rFonts w:ascii="Arial" w:hAnsi="Arial" w:cs="Arial"/>
          <w:color w:val="000000"/>
        </w:rPr>
      </w:pPr>
      <w:r w:rsidRPr="00690F06">
        <w:rPr>
          <w:rFonts w:ascii="Arial" w:hAnsi="Arial" w:cs="Arial"/>
          <w:color w:val="000000"/>
        </w:rPr>
        <w:t xml:space="preserve">In Australia there has been a general trend to manufacture and source finished goods from countries with lower production costs, commonly known as ‘off-shoring’. While there may be cost benefits associated with this trend there are also additional hidden costs in moving production a long way from the intended market for supply. </w:t>
      </w:r>
      <w:r w:rsidRPr="00690F06">
        <w:rPr>
          <w:rStyle w:val="FootnoteReference"/>
          <w:rFonts w:ascii="Arial" w:hAnsi="Arial" w:cs="Arial"/>
          <w:color w:val="000000"/>
        </w:rPr>
        <w:footnoteReference w:id="91"/>
      </w:r>
      <w:r w:rsidRPr="00690F06">
        <w:rPr>
          <w:rFonts w:ascii="Arial" w:hAnsi="Arial" w:cs="Arial"/>
          <w:color w:val="000000"/>
        </w:rPr>
        <w:t xml:space="preserve"> Quality risk, where the quality of product declines, can increase costs for suppliers particularly where it means products </w:t>
      </w:r>
      <w:r w:rsidRPr="00690F06">
        <w:rPr>
          <w:rFonts w:ascii="Arial" w:hAnsi="Arial" w:cs="Arial"/>
          <w:color w:val="000000"/>
        </w:rPr>
        <w:lastRenderedPageBreak/>
        <w:t>become unsafe for consumers. There are a number of ways Australian suppliers can manage quality risk including ensuring that manufacturers understand the threshold for a quality product and monitoring output.</w:t>
      </w:r>
      <w:r w:rsidRPr="00690F06">
        <w:rPr>
          <w:rStyle w:val="FootnoteReference"/>
          <w:rFonts w:ascii="Arial" w:hAnsi="Arial" w:cs="Arial"/>
          <w:color w:val="000000"/>
        </w:rPr>
        <w:footnoteReference w:id="92"/>
      </w:r>
      <w:r w:rsidRPr="00690F06">
        <w:rPr>
          <w:rFonts w:ascii="Arial" w:hAnsi="Arial" w:cs="Arial"/>
          <w:b/>
          <w:bCs/>
          <w:color w:val="000000"/>
        </w:rPr>
        <w:t xml:space="preserve"> </w:t>
      </w:r>
      <w:r w:rsidRPr="00690F06">
        <w:rPr>
          <w:rFonts w:ascii="Arial" w:hAnsi="Arial" w:cs="Arial"/>
          <w:color w:val="000000"/>
        </w:rPr>
        <w:t xml:space="preserve">This output management may be achieved via testing of finished goods or, preferably via supply chain monitoring (which would be expected to contain some level of auditing and testing). Regardless of the mechanism, consumers are entitled to expect that every manufacturer, importer and retailer in Australia adheres to </w:t>
      </w:r>
      <w:r w:rsidRPr="00690F06">
        <w:rPr>
          <w:rFonts w:ascii="Arial" w:hAnsi="Arial" w:cs="Arial"/>
        </w:rPr>
        <w:t xml:space="preserve">appropriate levels of </w:t>
      </w:r>
      <w:r w:rsidRPr="00690F06">
        <w:rPr>
          <w:rFonts w:ascii="Arial" w:hAnsi="Arial" w:cs="Arial"/>
          <w:color w:val="000000"/>
        </w:rPr>
        <w:t>product stewardship and complies with relevant laws.</w:t>
      </w:r>
    </w:p>
    <w:p w:rsidR="00EF1EA3" w:rsidRPr="00690F06" w:rsidRDefault="00EF1EA3" w:rsidP="00EF1EA3">
      <w:pPr>
        <w:autoSpaceDE w:val="0"/>
        <w:autoSpaceDN w:val="0"/>
        <w:adjustRightInd w:val="0"/>
        <w:rPr>
          <w:rFonts w:ascii="Arial" w:hAnsi="Arial" w:cs="Arial"/>
        </w:rPr>
      </w:pPr>
    </w:p>
    <w:p w:rsidR="00F50C37" w:rsidRPr="00B75AB3" w:rsidRDefault="003C681B" w:rsidP="0078383B">
      <w:pPr>
        <w:pStyle w:val="Heading1"/>
        <w:spacing w:after="240"/>
        <w:ind w:left="2835" w:hanging="2835"/>
        <w:rPr>
          <w:rFonts w:ascii="Lucida Fax" w:hAnsi="Lucida Fax"/>
          <w:lang w:val="en-AU"/>
        </w:rPr>
      </w:pPr>
      <w:r w:rsidRPr="00057880">
        <w:rPr>
          <w:rFonts w:ascii="Lucida Fax" w:hAnsi="Lucida Fax"/>
          <w:lang w:val="en-AU"/>
        </w:rPr>
        <w:br w:type="page"/>
      </w:r>
      <w:bookmarkStart w:id="110" w:name="_Toc412196651"/>
      <w:r w:rsidR="00E91CD0" w:rsidRPr="00B75AB3">
        <w:rPr>
          <w:rFonts w:ascii="Lucida Fax" w:hAnsi="Lucida Fax"/>
          <w:lang w:val="en-AU"/>
        </w:rPr>
        <w:lastRenderedPageBreak/>
        <w:t>Attachment </w:t>
      </w:r>
      <w:r w:rsidR="005C15F3" w:rsidRPr="00B75AB3">
        <w:rPr>
          <w:rFonts w:ascii="Lucida Fax" w:hAnsi="Lucida Fax"/>
          <w:lang w:val="en-AU"/>
        </w:rPr>
        <w:t>5</w:t>
      </w:r>
      <w:r w:rsidR="0078383B" w:rsidRPr="00B75AB3">
        <w:rPr>
          <w:rFonts w:ascii="Lucida Fax" w:hAnsi="Lucida Fax"/>
          <w:lang w:val="en-AU"/>
        </w:rPr>
        <w:t>:</w:t>
      </w:r>
      <w:r w:rsidR="0078383B" w:rsidRPr="00B75AB3">
        <w:rPr>
          <w:rFonts w:ascii="Lucida Fax" w:hAnsi="Lucida Fax"/>
          <w:lang w:val="en-AU"/>
        </w:rPr>
        <w:tab/>
      </w:r>
      <w:r w:rsidR="00F50C37" w:rsidRPr="00B75AB3">
        <w:rPr>
          <w:rFonts w:ascii="Lucida Fax" w:hAnsi="Lucida Fax"/>
          <w:lang w:val="en-AU"/>
        </w:rPr>
        <w:t>Identifying hazardous aromatic amines in goods</w:t>
      </w:r>
      <w:bookmarkEnd w:id="110"/>
    </w:p>
    <w:p w:rsidR="00F50C37" w:rsidRPr="00690F06" w:rsidRDefault="00F50C37" w:rsidP="00F50C37">
      <w:pPr>
        <w:spacing w:after="240"/>
        <w:rPr>
          <w:rFonts w:ascii="Arial" w:hAnsi="Arial" w:cs="Arial"/>
        </w:rPr>
      </w:pPr>
      <w:r w:rsidRPr="00690F06">
        <w:rPr>
          <w:rFonts w:ascii="Arial" w:hAnsi="Arial" w:cs="Arial"/>
        </w:rPr>
        <w:t>Detection of aromatic amines in clothing, textiles and leather articles can only be achieved via chemical testing in a laboratory. It is not possible to detect their presence via visual inspection. This complicates any compliance assessment process and ultimately increases costs.</w:t>
      </w:r>
    </w:p>
    <w:p w:rsidR="00F50C37" w:rsidRPr="00690F06" w:rsidRDefault="00F50C37" w:rsidP="00F50C37">
      <w:pPr>
        <w:spacing w:after="240"/>
        <w:rPr>
          <w:rFonts w:ascii="Arial" w:hAnsi="Arial" w:cs="Arial"/>
        </w:rPr>
      </w:pPr>
      <w:r w:rsidRPr="00690F06">
        <w:rPr>
          <w:rFonts w:ascii="Arial" w:hAnsi="Arial" w:cs="Arial"/>
        </w:rPr>
        <w:t xml:space="preserve">Testing for aromatic amines by accredited test laboratories costs approximately $US60 per test. Garments made from one piece of material require one test </w:t>
      </w:r>
      <w:proofErr w:type="gramStart"/>
      <w:r w:rsidRPr="00690F06">
        <w:rPr>
          <w:rFonts w:ascii="Arial" w:hAnsi="Arial" w:cs="Arial"/>
        </w:rPr>
        <w:t>only</w:t>
      </w:r>
      <w:r w:rsidR="00623744">
        <w:rPr>
          <w:rFonts w:ascii="Arial" w:hAnsi="Arial" w:cs="Arial"/>
        </w:rPr>
        <w:t>,</w:t>
      </w:r>
      <w:proofErr w:type="gramEnd"/>
      <w:r w:rsidRPr="00690F06">
        <w:rPr>
          <w:rFonts w:ascii="Arial" w:hAnsi="Arial" w:cs="Arial"/>
        </w:rPr>
        <w:t xml:space="preserve"> however garments like jeans with pockets made from separate material require two or more tests. A number of the recalls following ACCC commissioned testing were due to high levels of aromatic amines in pocket material.</w:t>
      </w:r>
    </w:p>
    <w:p w:rsidR="00F50C37" w:rsidRPr="00690F06" w:rsidRDefault="00F50C37" w:rsidP="00F50C37">
      <w:pPr>
        <w:spacing w:after="240"/>
        <w:rPr>
          <w:rFonts w:ascii="Arial" w:hAnsi="Arial" w:cs="Arial"/>
        </w:rPr>
      </w:pPr>
      <w:r w:rsidRPr="00690F06">
        <w:rPr>
          <w:rFonts w:ascii="Arial" w:hAnsi="Arial" w:cs="Arial"/>
        </w:rPr>
        <w:t>The accredited test methods extensively used by industry to detect aromatic amines are set out below:</w:t>
      </w:r>
    </w:p>
    <w:p w:rsidR="00F50C37" w:rsidRPr="00690F06" w:rsidRDefault="00E91CD0" w:rsidP="003D08A9">
      <w:pPr>
        <w:numPr>
          <w:ilvl w:val="0"/>
          <w:numId w:val="42"/>
        </w:numPr>
        <w:autoSpaceDE w:val="0"/>
        <w:autoSpaceDN w:val="0"/>
        <w:adjustRightInd w:val="0"/>
        <w:spacing w:before="120"/>
        <w:ind w:left="357" w:hanging="357"/>
        <w:rPr>
          <w:rFonts w:ascii="Arial" w:hAnsi="Arial" w:cs="Arial"/>
          <w:lang w:eastAsia="en-AU"/>
        </w:rPr>
      </w:pPr>
      <w:r w:rsidRPr="00690F06">
        <w:rPr>
          <w:rFonts w:ascii="Arial" w:hAnsi="Arial" w:cs="Arial"/>
          <w:lang w:eastAsia="en-AU"/>
        </w:rPr>
        <w:t>EN</w:t>
      </w:r>
      <w:r>
        <w:rPr>
          <w:rFonts w:ascii="Arial" w:hAnsi="Arial" w:cs="Arial"/>
          <w:lang w:eastAsia="en-AU"/>
        </w:rPr>
        <w:t> </w:t>
      </w:r>
      <w:r w:rsidR="00F50C37" w:rsidRPr="00690F06">
        <w:rPr>
          <w:rFonts w:ascii="Arial" w:hAnsi="Arial" w:cs="Arial"/>
          <w:lang w:eastAsia="en-AU"/>
        </w:rPr>
        <w:t>14362-1:2012 for textile material</w:t>
      </w:r>
    </w:p>
    <w:p w:rsidR="00F50C37" w:rsidRPr="00690F06" w:rsidRDefault="00E91CD0" w:rsidP="003D08A9">
      <w:pPr>
        <w:numPr>
          <w:ilvl w:val="0"/>
          <w:numId w:val="42"/>
        </w:numPr>
        <w:autoSpaceDE w:val="0"/>
        <w:autoSpaceDN w:val="0"/>
        <w:adjustRightInd w:val="0"/>
        <w:spacing w:before="120"/>
        <w:ind w:left="357" w:hanging="357"/>
        <w:rPr>
          <w:rFonts w:ascii="Arial" w:hAnsi="Arial" w:cs="Arial"/>
          <w:lang w:eastAsia="en-AU"/>
        </w:rPr>
      </w:pPr>
      <w:r w:rsidRPr="00690F06">
        <w:rPr>
          <w:rFonts w:ascii="Arial" w:hAnsi="Arial" w:cs="Arial"/>
          <w:lang w:eastAsia="en-AU"/>
        </w:rPr>
        <w:t>EN</w:t>
      </w:r>
      <w:r>
        <w:rPr>
          <w:rFonts w:ascii="Arial" w:hAnsi="Arial" w:cs="Arial"/>
          <w:lang w:eastAsia="en-AU"/>
        </w:rPr>
        <w:t> </w:t>
      </w:r>
      <w:r w:rsidR="00F50C37" w:rsidRPr="00690F06">
        <w:rPr>
          <w:rFonts w:ascii="Arial" w:hAnsi="Arial" w:cs="Arial"/>
          <w:lang w:eastAsia="en-AU"/>
        </w:rPr>
        <w:t xml:space="preserve">14362.3:2012 &amp; </w:t>
      </w:r>
      <w:r w:rsidRPr="00690F06">
        <w:rPr>
          <w:rFonts w:ascii="Arial" w:hAnsi="Arial" w:cs="Arial"/>
          <w:lang w:eastAsia="en-AU"/>
        </w:rPr>
        <w:t>EN</w:t>
      </w:r>
      <w:r>
        <w:rPr>
          <w:rFonts w:ascii="Arial" w:hAnsi="Arial" w:cs="Arial"/>
          <w:lang w:eastAsia="en-AU"/>
        </w:rPr>
        <w:t> </w:t>
      </w:r>
      <w:r w:rsidRPr="00690F06">
        <w:rPr>
          <w:rFonts w:ascii="Arial" w:hAnsi="Arial" w:cs="Arial"/>
          <w:lang w:eastAsia="en-AU"/>
        </w:rPr>
        <w:t>ISO</w:t>
      </w:r>
      <w:r>
        <w:rPr>
          <w:rFonts w:ascii="Arial" w:hAnsi="Arial" w:cs="Arial"/>
          <w:lang w:eastAsia="en-AU"/>
        </w:rPr>
        <w:t> </w:t>
      </w:r>
      <w:r w:rsidR="00F50C37" w:rsidRPr="00690F06">
        <w:rPr>
          <w:rFonts w:ascii="Arial" w:hAnsi="Arial" w:cs="Arial"/>
          <w:lang w:eastAsia="en-AU"/>
        </w:rPr>
        <w:t>17234.2</w:t>
      </w:r>
      <w:r w:rsidRPr="00690F06">
        <w:rPr>
          <w:rFonts w:ascii="Arial" w:hAnsi="Arial" w:cs="Arial"/>
          <w:lang w:eastAsia="en-AU"/>
        </w:rPr>
        <w:t>:</w:t>
      </w:r>
      <w:r w:rsidR="00F50C37" w:rsidRPr="00690F06">
        <w:rPr>
          <w:rFonts w:ascii="Arial" w:hAnsi="Arial" w:cs="Arial"/>
          <w:lang w:eastAsia="en-AU"/>
        </w:rPr>
        <w:t>2011 for p-</w:t>
      </w:r>
      <w:proofErr w:type="spellStart"/>
      <w:r w:rsidR="00F50C37" w:rsidRPr="00690F06">
        <w:rPr>
          <w:rFonts w:ascii="Arial" w:hAnsi="Arial" w:cs="Arial"/>
          <w:lang w:eastAsia="en-AU"/>
        </w:rPr>
        <w:t>Aminoazobenzene</w:t>
      </w:r>
      <w:proofErr w:type="spellEnd"/>
    </w:p>
    <w:p w:rsidR="00F50C37" w:rsidRPr="00690F06" w:rsidRDefault="00E91CD0" w:rsidP="003D08A9">
      <w:pPr>
        <w:numPr>
          <w:ilvl w:val="0"/>
          <w:numId w:val="42"/>
        </w:numPr>
        <w:autoSpaceDE w:val="0"/>
        <w:autoSpaceDN w:val="0"/>
        <w:adjustRightInd w:val="0"/>
        <w:spacing w:before="120"/>
        <w:ind w:left="357" w:hanging="357"/>
        <w:rPr>
          <w:rFonts w:ascii="Arial" w:hAnsi="Arial" w:cs="Arial"/>
        </w:rPr>
      </w:pPr>
      <w:r w:rsidRPr="00690F06">
        <w:rPr>
          <w:rFonts w:ascii="Arial" w:hAnsi="Arial" w:cs="Arial"/>
          <w:lang w:eastAsia="en-AU"/>
        </w:rPr>
        <w:t>EN</w:t>
      </w:r>
      <w:r>
        <w:rPr>
          <w:rFonts w:ascii="Arial" w:hAnsi="Arial" w:cs="Arial"/>
          <w:lang w:eastAsia="en-AU"/>
        </w:rPr>
        <w:t> </w:t>
      </w:r>
      <w:r w:rsidRPr="00690F06">
        <w:rPr>
          <w:rFonts w:ascii="Arial" w:hAnsi="Arial" w:cs="Arial"/>
          <w:lang w:eastAsia="en-AU"/>
        </w:rPr>
        <w:t>ISO</w:t>
      </w:r>
      <w:r>
        <w:rPr>
          <w:rFonts w:ascii="Arial" w:hAnsi="Arial" w:cs="Arial"/>
          <w:lang w:eastAsia="en-AU"/>
        </w:rPr>
        <w:t> </w:t>
      </w:r>
      <w:r w:rsidR="00F50C37" w:rsidRPr="00690F06">
        <w:rPr>
          <w:rFonts w:ascii="Arial" w:hAnsi="Arial" w:cs="Arial"/>
          <w:lang w:eastAsia="en-AU"/>
        </w:rPr>
        <w:t>17234.1:2010</w:t>
      </w:r>
      <w:r w:rsidR="00F50C37" w:rsidRPr="00690F06">
        <w:rPr>
          <w:rFonts w:ascii="Arial" w:hAnsi="Arial" w:cs="Arial"/>
        </w:rPr>
        <w:t xml:space="preserve"> for leather material.</w:t>
      </w:r>
    </w:p>
    <w:p w:rsidR="003D08A9" w:rsidRDefault="003D08A9" w:rsidP="00F50C37">
      <w:pPr>
        <w:spacing w:after="240"/>
        <w:rPr>
          <w:rFonts w:ascii="Arial" w:hAnsi="Arial" w:cs="Arial"/>
        </w:rPr>
      </w:pPr>
    </w:p>
    <w:p w:rsidR="00F50C37" w:rsidRPr="00690F06" w:rsidRDefault="00F50C37" w:rsidP="00F50C37">
      <w:pPr>
        <w:spacing w:after="240"/>
        <w:rPr>
          <w:rFonts w:ascii="Arial" w:hAnsi="Arial" w:cs="Arial"/>
        </w:rPr>
      </w:pPr>
      <w:r w:rsidRPr="00690F06">
        <w:rPr>
          <w:rFonts w:ascii="Arial" w:hAnsi="Arial" w:cs="Arial"/>
        </w:rPr>
        <w:t>Where p-</w:t>
      </w:r>
      <w:proofErr w:type="spellStart"/>
      <w:r w:rsidRPr="00690F06">
        <w:rPr>
          <w:rFonts w:ascii="Arial" w:hAnsi="Arial" w:cs="Arial"/>
        </w:rPr>
        <w:t>Aminoazobenzene</w:t>
      </w:r>
      <w:proofErr w:type="spellEnd"/>
      <w:r w:rsidRPr="00690F06">
        <w:rPr>
          <w:rFonts w:ascii="Arial" w:hAnsi="Arial" w:cs="Arial"/>
        </w:rPr>
        <w:t xml:space="preserve"> is detected using the test method in </w:t>
      </w:r>
      <w:r w:rsidR="005D7F60" w:rsidRPr="00690F06">
        <w:rPr>
          <w:rFonts w:ascii="Arial" w:hAnsi="Arial" w:cs="Arial"/>
        </w:rPr>
        <w:t>EN</w:t>
      </w:r>
      <w:r w:rsidR="005D7F60">
        <w:rPr>
          <w:rFonts w:ascii="Arial" w:hAnsi="Arial" w:cs="Arial"/>
        </w:rPr>
        <w:t> </w:t>
      </w:r>
      <w:r w:rsidRPr="00690F06">
        <w:rPr>
          <w:rFonts w:ascii="Arial" w:hAnsi="Arial" w:cs="Arial"/>
        </w:rPr>
        <w:t xml:space="preserve">14362-1:2012, an additional two tests (using </w:t>
      </w:r>
      <w:r w:rsidR="005D7F60" w:rsidRPr="00690F06">
        <w:rPr>
          <w:rFonts w:ascii="Arial" w:hAnsi="Arial" w:cs="Arial"/>
        </w:rPr>
        <w:t>EN</w:t>
      </w:r>
      <w:r w:rsidR="005D7F60">
        <w:rPr>
          <w:rFonts w:ascii="Arial" w:hAnsi="Arial" w:cs="Arial"/>
        </w:rPr>
        <w:t> </w:t>
      </w:r>
      <w:r w:rsidRPr="00690F06">
        <w:rPr>
          <w:rFonts w:ascii="Arial" w:hAnsi="Arial" w:cs="Arial"/>
        </w:rPr>
        <w:t xml:space="preserve">14362.3:2012 &amp; </w:t>
      </w:r>
      <w:r w:rsidR="005D7F60" w:rsidRPr="00690F06">
        <w:rPr>
          <w:rFonts w:ascii="Arial" w:hAnsi="Arial" w:cs="Arial"/>
        </w:rPr>
        <w:t>EN</w:t>
      </w:r>
      <w:r w:rsidR="005D7F60">
        <w:rPr>
          <w:rFonts w:ascii="Arial" w:hAnsi="Arial" w:cs="Arial"/>
        </w:rPr>
        <w:t> </w:t>
      </w:r>
      <w:r w:rsidR="005D7F60" w:rsidRPr="00690F06">
        <w:rPr>
          <w:rFonts w:ascii="Arial" w:hAnsi="Arial" w:cs="Arial"/>
        </w:rPr>
        <w:t>ISO</w:t>
      </w:r>
      <w:r w:rsidR="005D7F60">
        <w:rPr>
          <w:rFonts w:ascii="Arial" w:hAnsi="Arial" w:cs="Arial"/>
        </w:rPr>
        <w:t> </w:t>
      </w:r>
      <w:r w:rsidRPr="00690F06">
        <w:rPr>
          <w:rFonts w:ascii="Arial" w:hAnsi="Arial" w:cs="Arial"/>
        </w:rPr>
        <w:t>17234.2:2011) need to be completed to accurately determine the level. This additional testing increases compliance costs.</w:t>
      </w:r>
    </w:p>
    <w:p w:rsidR="00F50C37" w:rsidRPr="00690F06" w:rsidRDefault="00F50C37" w:rsidP="00F50C37">
      <w:pPr>
        <w:spacing w:after="240"/>
        <w:rPr>
          <w:rFonts w:ascii="Arial" w:hAnsi="Arial" w:cs="Arial"/>
        </w:rPr>
      </w:pPr>
      <w:proofErr w:type="gramStart"/>
      <w:r w:rsidRPr="00690F06">
        <w:rPr>
          <w:rFonts w:ascii="Arial" w:hAnsi="Arial" w:cs="Arial"/>
        </w:rPr>
        <w:t xml:space="preserve">Further, where test results indicate aromatic amines at levels close to the limit of </w:t>
      </w:r>
      <w:r w:rsidR="005D7F60" w:rsidRPr="00690F06">
        <w:rPr>
          <w:rFonts w:ascii="Arial" w:hAnsi="Arial" w:cs="Arial"/>
        </w:rPr>
        <w:t>30</w:t>
      </w:r>
      <w:r w:rsidR="005D7F60">
        <w:rPr>
          <w:rFonts w:ascii="Arial" w:hAnsi="Arial" w:cs="Arial"/>
        </w:rPr>
        <w:t> </w:t>
      </w:r>
      <w:r w:rsidRPr="00690F06">
        <w:rPr>
          <w:rFonts w:ascii="Arial" w:hAnsi="Arial" w:cs="Arial"/>
        </w:rPr>
        <w:t>mg/kg</w:t>
      </w:r>
      <w:r w:rsidR="005D7F60">
        <w:rPr>
          <w:rFonts w:ascii="Arial" w:hAnsi="Arial" w:cs="Arial"/>
        </w:rPr>
        <w:t>,</w:t>
      </w:r>
      <w:r w:rsidRPr="00690F06">
        <w:rPr>
          <w:rFonts w:ascii="Arial" w:hAnsi="Arial" w:cs="Arial"/>
        </w:rPr>
        <w:t xml:space="preserve"> further testing needs to be conducted.</w:t>
      </w:r>
      <w:proofErr w:type="gramEnd"/>
      <w:r w:rsidRPr="00690F06">
        <w:rPr>
          <w:rFonts w:ascii="Arial" w:hAnsi="Arial" w:cs="Arial"/>
        </w:rPr>
        <w:t xml:space="preserve"> The detection limit is </w:t>
      </w:r>
      <w:r w:rsidR="005D7F60" w:rsidRPr="00690F06">
        <w:rPr>
          <w:rFonts w:ascii="Arial" w:hAnsi="Arial" w:cs="Arial"/>
        </w:rPr>
        <w:t>5</w:t>
      </w:r>
      <w:r w:rsidR="005D7F60">
        <w:rPr>
          <w:rFonts w:ascii="Arial" w:hAnsi="Arial" w:cs="Arial"/>
        </w:rPr>
        <w:t> </w:t>
      </w:r>
      <w:r w:rsidRPr="00690F06">
        <w:rPr>
          <w:rFonts w:ascii="Arial" w:hAnsi="Arial" w:cs="Arial"/>
        </w:rPr>
        <w:t>mg/kg</w:t>
      </w:r>
      <w:r w:rsidR="005D7F60">
        <w:rPr>
          <w:rFonts w:ascii="Arial" w:hAnsi="Arial" w:cs="Arial"/>
        </w:rPr>
        <w:t>,</w:t>
      </w:r>
      <w:r w:rsidRPr="00690F06">
        <w:rPr>
          <w:rFonts w:ascii="Arial" w:hAnsi="Arial" w:cs="Arial"/>
        </w:rPr>
        <w:t xml:space="preserve"> so detection between 25</w:t>
      </w:r>
      <w:r w:rsidR="005D7F60">
        <w:rPr>
          <w:rFonts w:ascii="Arial" w:hAnsi="Arial" w:cs="Arial"/>
        </w:rPr>
        <w:t> </w:t>
      </w:r>
      <w:r w:rsidRPr="00690F06">
        <w:rPr>
          <w:rFonts w:ascii="Arial" w:hAnsi="Arial" w:cs="Arial"/>
        </w:rPr>
        <w:t>mg/kg and 35</w:t>
      </w:r>
      <w:r w:rsidR="005D7F60">
        <w:rPr>
          <w:rFonts w:ascii="Arial" w:hAnsi="Arial" w:cs="Arial"/>
        </w:rPr>
        <w:t> </w:t>
      </w:r>
      <w:r w:rsidRPr="00690F06">
        <w:rPr>
          <w:rFonts w:ascii="Arial" w:hAnsi="Arial" w:cs="Arial"/>
        </w:rPr>
        <w:t>mg/kg would need further investigation and testing.</w:t>
      </w:r>
    </w:p>
    <w:p w:rsidR="00F50C37" w:rsidRPr="00B7209D" w:rsidRDefault="00E63157" w:rsidP="00F50C37">
      <w:pPr>
        <w:pStyle w:val="Heading1"/>
        <w:spacing w:before="120"/>
        <w:rPr>
          <w:rFonts w:ascii="Lucida Fax" w:hAnsi="Lucida Fax"/>
        </w:rPr>
      </w:pPr>
      <w:r w:rsidRPr="00057880">
        <w:rPr>
          <w:rFonts w:ascii="Lucida Fax" w:hAnsi="Lucida Fax"/>
          <w:lang w:val="en-AU"/>
        </w:rPr>
        <w:br w:type="page"/>
      </w:r>
      <w:bookmarkStart w:id="111" w:name="_Toc412196652"/>
      <w:r w:rsidR="00E91CD0" w:rsidRPr="00B7209D">
        <w:rPr>
          <w:rFonts w:ascii="Lucida Fax" w:hAnsi="Lucida Fax"/>
        </w:rPr>
        <w:lastRenderedPageBreak/>
        <w:t>Attachment </w:t>
      </w:r>
      <w:r w:rsidR="005C15F3" w:rsidRPr="00B7209D">
        <w:rPr>
          <w:rFonts w:ascii="Lucida Fax" w:hAnsi="Lucida Fax"/>
        </w:rPr>
        <w:t>6</w:t>
      </w:r>
      <w:r w:rsidR="0078383B" w:rsidRPr="00B7209D">
        <w:rPr>
          <w:rFonts w:ascii="Lucida Fax" w:hAnsi="Lucida Fax"/>
        </w:rPr>
        <w:t>:</w:t>
      </w:r>
      <w:r w:rsidR="0078383B" w:rsidRPr="00B7209D">
        <w:rPr>
          <w:rFonts w:ascii="Lucida Fax" w:hAnsi="Lucida Fax"/>
        </w:rPr>
        <w:tab/>
      </w:r>
      <w:r w:rsidR="00F50C37" w:rsidRPr="00B7209D">
        <w:rPr>
          <w:rFonts w:ascii="Lucida Fax" w:hAnsi="Lucida Fax"/>
        </w:rPr>
        <w:t>Constraints and barriers</w:t>
      </w:r>
      <w:bookmarkEnd w:id="111"/>
    </w:p>
    <w:p w:rsidR="00F50C37" w:rsidRDefault="00F50C37" w:rsidP="00F50C37"/>
    <w:p w:rsidR="00F50C37" w:rsidRPr="00690F06" w:rsidRDefault="00F50C37" w:rsidP="00F50C37">
      <w:pPr>
        <w:spacing w:after="240"/>
        <w:rPr>
          <w:rFonts w:ascii="Arial" w:hAnsi="Arial" w:cs="Arial"/>
        </w:rPr>
      </w:pPr>
      <w:r w:rsidRPr="00690F06">
        <w:rPr>
          <w:rFonts w:ascii="Arial" w:hAnsi="Arial" w:cs="Arial"/>
        </w:rPr>
        <w:t xml:space="preserve">Some of the constraints to consider include the cost, efficiency and veracity of various activities that might be undertaken. Testing of all final products is inefficient. Waiting until product is completed before testing is conducted can result in unnecessary losses for manufacturers, wholesalers and potentially retailers. It also creates delays in moving stock until test results are confirmed and increases warehousing costs. </w:t>
      </w:r>
    </w:p>
    <w:p w:rsidR="00F50C37" w:rsidRPr="00690F06" w:rsidRDefault="00F50C37" w:rsidP="00F50C37">
      <w:pPr>
        <w:spacing w:after="240"/>
        <w:rPr>
          <w:rFonts w:ascii="Arial" w:hAnsi="Arial" w:cs="Arial"/>
        </w:rPr>
      </w:pPr>
      <w:r w:rsidRPr="00690F06">
        <w:rPr>
          <w:rFonts w:ascii="Arial" w:hAnsi="Arial" w:cs="Arial"/>
        </w:rPr>
        <w:t>Arguably a better approach would be to ensure the fabric is free of hazardous azo dyes prior to any manufacturing. This may require Australian suppliers to have a greater presence and involvement during product manufacture and conduct some product testing on finished goods to be satisfied that product substitution has not taken place. However, both greater presence by staff (or company agents) or third party certification schemes are not infallible and can be susceptible to fraud or other corruption.</w:t>
      </w:r>
    </w:p>
    <w:p w:rsidR="00F50C37" w:rsidRPr="00690F06" w:rsidRDefault="00F50C37" w:rsidP="00F50C37">
      <w:pPr>
        <w:spacing w:after="240"/>
        <w:rPr>
          <w:rFonts w:ascii="Arial" w:hAnsi="Arial" w:cs="Arial"/>
        </w:rPr>
      </w:pPr>
      <w:r w:rsidRPr="00690F06">
        <w:rPr>
          <w:rFonts w:ascii="Arial" w:hAnsi="Arial" w:cs="Arial"/>
        </w:rPr>
        <w:t xml:space="preserve">Another constraint is the large and diversified nature of suppliers and their varying supply chains. </w:t>
      </w:r>
      <w:r>
        <w:rPr>
          <w:rFonts w:ascii="Arial" w:hAnsi="Arial" w:cs="Arial"/>
        </w:rPr>
        <w:t>There are</w:t>
      </w:r>
      <w:r w:rsidRPr="00690F06">
        <w:rPr>
          <w:rFonts w:ascii="Arial" w:hAnsi="Arial" w:cs="Arial"/>
        </w:rPr>
        <w:t xml:space="preserve"> a large number of Australian wholesalers and retailers. The statistics listed in </w:t>
      </w:r>
      <w:r w:rsidR="005D7F60" w:rsidRPr="00690F06">
        <w:rPr>
          <w:rFonts w:ascii="Arial" w:hAnsi="Arial" w:cs="Arial"/>
        </w:rPr>
        <w:t>Table</w:t>
      </w:r>
      <w:r w:rsidR="005D7F60">
        <w:rPr>
          <w:rFonts w:ascii="Arial" w:hAnsi="Arial" w:cs="Arial"/>
        </w:rPr>
        <w:t> A</w:t>
      </w:r>
      <w:r w:rsidR="00FB5EFB">
        <w:rPr>
          <w:rFonts w:ascii="Arial" w:hAnsi="Arial" w:cs="Arial"/>
        </w:rPr>
        <w:t>6</w:t>
      </w:r>
      <w:r w:rsidRPr="00690F06">
        <w:rPr>
          <w:rFonts w:ascii="Arial" w:hAnsi="Arial" w:cs="Arial"/>
        </w:rPr>
        <w:t>.1 provide an indication of the number of businesses likely to be affected.</w:t>
      </w:r>
    </w:p>
    <w:p w:rsidR="00F50C37" w:rsidRPr="00D330EE" w:rsidRDefault="00F50C37" w:rsidP="00F50C37">
      <w:pPr>
        <w:keepNext/>
        <w:spacing w:after="120"/>
        <w:rPr>
          <w:rFonts w:ascii="Arial" w:hAnsi="Arial" w:cs="Arial"/>
          <w:b/>
          <w:sz w:val="24"/>
          <w:szCs w:val="24"/>
        </w:rPr>
      </w:pPr>
      <w:r w:rsidRPr="00D330EE">
        <w:rPr>
          <w:rFonts w:ascii="Arial" w:hAnsi="Arial" w:cs="Arial"/>
          <w:b/>
          <w:sz w:val="24"/>
          <w:szCs w:val="24"/>
        </w:rPr>
        <w:t xml:space="preserve">Table </w:t>
      </w:r>
      <w:r w:rsidR="00D65CE9" w:rsidRPr="00D330EE">
        <w:rPr>
          <w:rFonts w:ascii="Arial" w:hAnsi="Arial" w:cs="Arial"/>
          <w:b/>
          <w:sz w:val="24"/>
          <w:szCs w:val="24"/>
        </w:rPr>
        <w:t>A</w:t>
      </w:r>
      <w:r w:rsidR="00FB5EFB" w:rsidRPr="00D330EE">
        <w:rPr>
          <w:rFonts w:ascii="Arial" w:hAnsi="Arial" w:cs="Arial"/>
          <w:b/>
          <w:sz w:val="24"/>
          <w:szCs w:val="24"/>
        </w:rPr>
        <w:t>6</w:t>
      </w:r>
      <w:r w:rsidR="00D65CE9" w:rsidRPr="00D330EE">
        <w:rPr>
          <w:rFonts w:ascii="Arial" w:hAnsi="Arial" w:cs="Arial"/>
          <w:b/>
          <w:sz w:val="24"/>
          <w:szCs w:val="24"/>
        </w:rPr>
        <w:t>.1</w:t>
      </w:r>
      <w:r w:rsidRPr="00D330EE">
        <w:rPr>
          <w:rFonts w:ascii="Arial" w:hAnsi="Arial" w:cs="Arial"/>
          <w:b/>
          <w:sz w:val="24"/>
          <w:szCs w:val="24"/>
        </w:rPr>
        <w:tab/>
        <w:t>Statistics for clothing and textiles suppliers in Australia</w:t>
      </w:r>
    </w:p>
    <w:tbl>
      <w:tblPr>
        <w:tblW w:w="0" w:type="auto"/>
        <w:tblBorders>
          <w:top w:val="single" w:sz="12" w:space="0" w:color="auto"/>
          <w:left w:val="single" w:sz="4" w:space="0" w:color="auto"/>
          <w:bottom w:val="single" w:sz="12" w:space="0" w:color="auto"/>
          <w:right w:val="single" w:sz="4" w:space="0" w:color="auto"/>
          <w:insideV w:val="single" w:sz="4" w:space="0" w:color="auto"/>
        </w:tblBorders>
        <w:tblLook w:val="04A0" w:firstRow="1" w:lastRow="0" w:firstColumn="1" w:lastColumn="0" w:noHBand="0" w:noVBand="1"/>
      </w:tblPr>
      <w:tblGrid>
        <w:gridCol w:w="2376"/>
        <w:gridCol w:w="2436"/>
        <w:gridCol w:w="2348"/>
        <w:gridCol w:w="2085"/>
      </w:tblGrid>
      <w:tr w:rsidR="00057880" w:rsidRPr="0081579D" w:rsidTr="00057880">
        <w:tc>
          <w:tcPr>
            <w:tcW w:w="2376" w:type="dxa"/>
            <w:tcBorders>
              <w:top w:val="single" w:sz="12" w:space="0" w:color="auto"/>
              <w:left w:val="nil"/>
              <w:bottom w:val="single" w:sz="12" w:space="0" w:color="auto"/>
              <w:right w:val="nil"/>
            </w:tcBorders>
            <w:shd w:val="clear" w:color="auto" w:fill="auto"/>
            <w:hideMark/>
          </w:tcPr>
          <w:p w:rsidR="00F50C37" w:rsidRPr="00D330EE" w:rsidRDefault="00F50C37" w:rsidP="00057880">
            <w:pPr>
              <w:spacing w:after="240"/>
              <w:rPr>
                <w:rFonts w:ascii="Arial" w:hAnsi="Arial" w:cs="Arial"/>
                <w:b/>
                <w:sz w:val="20"/>
                <w:szCs w:val="20"/>
              </w:rPr>
            </w:pPr>
            <w:r w:rsidRPr="00D330EE">
              <w:rPr>
                <w:rFonts w:ascii="Arial" w:hAnsi="Arial" w:cs="Arial"/>
                <w:b/>
                <w:sz w:val="20"/>
                <w:szCs w:val="20"/>
              </w:rPr>
              <w:t>Stakeholder group</w:t>
            </w:r>
          </w:p>
        </w:tc>
        <w:tc>
          <w:tcPr>
            <w:tcW w:w="2436" w:type="dxa"/>
            <w:tcBorders>
              <w:top w:val="single" w:sz="12" w:space="0" w:color="auto"/>
              <w:left w:val="nil"/>
              <w:bottom w:val="single" w:sz="12" w:space="0" w:color="auto"/>
              <w:right w:val="nil"/>
            </w:tcBorders>
            <w:shd w:val="clear" w:color="auto" w:fill="auto"/>
            <w:hideMark/>
          </w:tcPr>
          <w:p w:rsidR="00F50C37" w:rsidRPr="00D330EE" w:rsidRDefault="00F50C37" w:rsidP="00057880">
            <w:pPr>
              <w:spacing w:after="240"/>
              <w:rPr>
                <w:rFonts w:ascii="Arial" w:hAnsi="Arial" w:cs="Arial"/>
                <w:b/>
                <w:sz w:val="20"/>
                <w:szCs w:val="20"/>
              </w:rPr>
            </w:pPr>
            <w:r w:rsidRPr="00D330EE">
              <w:rPr>
                <w:rFonts w:ascii="Arial" w:hAnsi="Arial" w:cs="Arial"/>
                <w:b/>
                <w:sz w:val="20"/>
                <w:szCs w:val="20"/>
              </w:rPr>
              <w:t>Number of businesses</w:t>
            </w:r>
            <w:r w:rsidR="00CE6154" w:rsidRPr="00D330EE">
              <w:rPr>
                <w:rStyle w:val="FootnoteReference"/>
                <w:rFonts w:ascii="Arial" w:hAnsi="Arial" w:cs="Arial"/>
                <w:b/>
                <w:sz w:val="20"/>
                <w:szCs w:val="20"/>
              </w:rPr>
              <w:footnoteReference w:id="93"/>
            </w:r>
          </w:p>
        </w:tc>
        <w:tc>
          <w:tcPr>
            <w:tcW w:w="2348" w:type="dxa"/>
            <w:tcBorders>
              <w:top w:val="single" w:sz="12" w:space="0" w:color="auto"/>
              <w:left w:val="nil"/>
              <w:bottom w:val="single" w:sz="12" w:space="0" w:color="auto"/>
              <w:right w:val="nil"/>
            </w:tcBorders>
            <w:shd w:val="clear" w:color="auto" w:fill="auto"/>
            <w:hideMark/>
          </w:tcPr>
          <w:p w:rsidR="00F50C37" w:rsidRPr="00D330EE" w:rsidRDefault="00F50C37" w:rsidP="00057880">
            <w:pPr>
              <w:spacing w:after="240"/>
              <w:rPr>
                <w:rFonts w:ascii="Arial" w:hAnsi="Arial" w:cs="Arial"/>
                <w:b/>
                <w:sz w:val="20"/>
                <w:szCs w:val="20"/>
              </w:rPr>
            </w:pPr>
            <w:r w:rsidRPr="00D330EE">
              <w:rPr>
                <w:rFonts w:ascii="Arial" w:hAnsi="Arial" w:cs="Arial"/>
                <w:b/>
                <w:sz w:val="20"/>
                <w:szCs w:val="20"/>
              </w:rPr>
              <w:t>Total annual revenue ($</w:t>
            </w:r>
            <w:proofErr w:type="spellStart"/>
            <w:r w:rsidRPr="00D330EE">
              <w:rPr>
                <w:rFonts w:ascii="Arial" w:hAnsi="Arial" w:cs="Arial"/>
                <w:b/>
                <w:sz w:val="20"/>
                <w:szCs w:val="20"/>
              </w:rPr>
              <w:t>bn</w:t>
            </w:r>
            <w:proofErr w:type="spellEnd"/>
            <w:r w:rsidRPr="00D330EE">
              <w:rPr>
                <w:rFonts w:ascii="Arial" w:hAnsi="Arial" w:cs="Arial"/>
                <w:b/>
                <w:sz w:val="20"/>
                <w:szCs w:val="20"/>
              </w:rPr>
              <w:t>)</w:t>
            </w:r>
          </w:p>
        </w:tc>
        <w:tc>
          <w:tcPr>
            <w:tcW w:w="2085" w:type="dxa"/>
            <w:tcBorders>
              <w:top w:val="single" w:sz="12" w:space="0" w:color="auto"/>
              <w:left w:val="nil"/>
              <w:bottom w:val="single" w:sz="12" w:space="0" w:color="auto"/>
              <w:right w:val="nil"/>
            </w:tcBorders>
            <w:shd w:val="clear" w:color="auto" w:fill="auto"/>
            <w:hideMark/>
          </w:tcPr>
          <w:p w:rsidR="00F50C37" w:rsidRPr="00D330EE" w:rsidRDefault="00F50C37" w:rsidP="00057880">
            <w:pPr>
              <w:spacing w:after="240"/>
              <w:rPr>
                <w:rFonts w:ascii="Arial" w:hAnsi="Arial" w:cs="Arial"/>
                <w:b/>
                <w:sz w:val="20"/>
                <w:szCs w:val="20"/>
              </w:rPr>
            </w:pPr>
            <w:r w:rsidRPr="00D330EE">
              <w:rPr>
                <w:rFonts w:ascii="Arial" w:hAnsi="Arial" w:cs="Arial"/>
                <w:b/>
                <w:sz w:val="20"/>
                <w:szCs w:val="20"/>
              </w:rPr>
              <w:t>Total annual profit ($m)</w:t>
            </w:r>
          </w:p>
        </w:tc>
      </w:tr>
      <w:tr w:rsidR="00057880" w:rsidRPr="0081579D" w:rsidTr="00057880">
        <w:tc>
          <w:tcPr>
            <w:tcW w:w="2376" w:type="dxa"/>
            <w:tcBorders>
              <w:top w:val="single" w:sz="12" w:space="0" w:color="auto"/>
              <w:left w:val="nil"/>
              <w:bottom w:val="nil"/>
              <w:right w:val="nil"/>
            </w:tcBorders>
            <w:shd w:val="clear" w:color="auto" w:fill="auto"/>
            <w:hideMark/>
          </w:tcPr>
          <w:p w:rsidR="00F50C37" w:rsidRPr="00D330EE" w:rsidRDefault="00F50C37" w:rsidP="0081579D">
            <w:pPr>
              <w:spacing w:after="240"/>
              <w:rPr>
                <w:rFonts w:ascii="Arial" w:hAnsi="Arial" w:cs="Arial"/>
                <w:sz w:val="20"/>
                <w:szCs w:val="20"/>
              </w:rPr>
            </w:pPr>
            <w:r w:rsidRPr="00D330EE">
              <w:rPr>
                <w:rFonts w:ascii="Arial" w:hAnsi="Arial" w:cs="Arial"/>
                <w:sz w:val="20"/>
                <w:szCs w:val="20"/>
              </w:rPr>
              <w:t>Clothing retailers</w:t>
            </w:r>
          </w:p>
        </w:tc>
        <w:tc>
          <w:tcPr>
            <w:tcW w:w="2436" w:type="dxa"/>
            <w:tcBorders>
              <w:top w:val="single" w:sz="12" w:space="0" w:color="auto"/>
              <w:left w:val="nil"/>
              <w:bottom w:val="nil"/>
              <w:right w:val="nil"/>
            </w:tcBorders>
            <w:shd w:val="clear" w:color="auto" w:fill="auto"/>
            <w:vAlign w:val="center"/>
            <w:hideMark/>
          </w:tcPr>
          <w:p w:rsidR="00F50C37" w:rsidRPr="00D330EE" w:rsidRDefault="00CE6154" w:rsidP="00057880">
            <w:pPr>
              <w:spacing w:after="240"/>
              <w:jc w:val="center"/>
              <w:rPr>
                <w:rFonts w:ascii="Arial" w:hAnsi="Arial" w:cs="Arial"/>
                <w:sz w:val="20"/>
                <w:szCs w:val="20"/>
              </w:rPr>
            </w:pPr>
            <w:r w:rsidRPr="00D330EE">
              <w:rPr>
                <w:rFonts w:ascii="Arial" w:hAnsi="Arial" w:cs="Arial"/>
                <w:sz w:val="20"/>
                <w:szCs w:val="20"/>
              </w:rPr>
              <w:t>11 320</w:t>
            </w:r>
          </w:p>
        </w:tc>
        <w:tc>
          <w:tcPr>
            <w:tcW w:w="2348" w:type="dxa"/>
            <w:tcBorders>
              <w:top w:val="single" w:sz="12" w:space="0" w:color="auto"/>
              <w:left w:val="nil"/>
              <w:bottom w:val="nil"/>
              <w:right w:val="nil"/>
            </w:tcBorders>
            <w:shd w:val="clear" w:color="auto" w:fill="auto"/>
            <w:vAlign w:val="center"/>
            <w:hideMark/>
          </w:tcPr>
          <w:p w:rsidR="00F50C37" w:rsidRPr="00D330EE" w:rsidRDefault="0081579D" w:rsidP="00057880">
            <w:pPr>
              <w:spacing w:after="240"/>
              <w:jc w:val="center"/>
              <w:rPr>
                <w:rFonts w:ascii="Arial" w:hAnsi="Arial" w:cs="Arial"/>
                <w:sz w:val="20"/>
                <w:szCs w:val="20"/>
              </w:rPr>
            </w:pPr>
            <w:r w:rsidRPr="00D330EE">
              <w:rPr>
                <w:rFonts w:ascii="Arial" w:hAnsi="Arial" w:cs="Arial"/>
                <w:sz w:val="20"/>
                <w:szCs w:val="20"/>
              </w:rPr>
              <w:t>13.1</w:t>
            </w:r>
            <w:r w:rsidRPr="009F1FDF">
              <w:rPr>
                <w:rStyle w:val="FootnoteReference"/>
                <w:rFonts w:ascii="Arial" w:hAnsi="Arial" w:cs="Arial"/>
                <w:sz w:val="16"/>
                <w:szCs w:val="16"/>
              </w:rPr>
              <w:footnoteReference w:id="94"/>
            </w:r>
          </w:p>
        </w:tc>
        <w:tc>
          <w:tcPr>
            <w:tcW w:w="2085" w:type="dxa"/>
            <w:tcBorders>
              <w:top w:val="single" w:sz="12" w:space="0" w:color="auto"/>
              <w:left w:val="nil"/>
              <w:bottom w:val="nil"/>
              <w:right w:val="nil"/>
            </w:tcBorders>
            <w:shd w:val="clear" w:color="auto" w:fill="auto"/>
            <w:vAlign w:val="center"/>
            <w:hideMark/>
          </w:tcPr>
          <w:p w:rsidR="00F50C37" w:rsidRPr="00D330EE" w:rsidRDefault="0081579D">
            <w:pPr>
              <w:spacing w:after="240"/>
              <w:jc w:val="center"/>
              <w:rPr>
                <w:rFonts w:ascii="Arial" w:hAnsi="Arial" w:cs="Arial"/>
                <w:sz w:val="20"/>
                <w:szCs w:val="20"/>
              </w:rPr>
            </w:pPr>
            <w:r w:rsidRPr="00D330EE">
              <w:rPr>
                <w:rFonts w:ascii="Arial" w:hAnsi="Arial" w:cs="Arial"/>
                <w:sz w:val="20"/>
                <w:szCs w:val="20"/>
              </w:rPr>
              <w:t>629.5</w:t>
            </w:r>
            <w:r w:rsidR="001E5F70">
              <w:rPr>
                <w:rStyle w:val="FootnoteReference"/>
                <w:rFonts w:ascii="Arial" w:hAnsi="Arial" w:cs="Arial"/>
                <w:sz w:val="20"/>
                <w:szCs w:val="20"/>
              </w:rPr>
              <w:footnoteReference w:id="95"/>
            </w:r>
          </w:p>
        </w:tc>
      </w:tr>
      <w:tr w:rsidR="00F50C37" w:rsidRPr="0081579D" w:rsidTr="00057880">
        <w:tc>
          <w:tcPr>
            <w:tcW w:w="2376" w:type="dxa"/>
            <w:tcBorders>
              <w:top w:val="nil"/>
              <w:left w:val="nil"/>
              <w:bottom w:val="nil"/>
              <w:right w:val="nil"/>
            </w:tcBorders>
            <w:shd w:val="clear" w:color="auto" w:fill="auto"/>
            <w:hideMark/>
          </w:tcPr>
          <w:p w:rsidR="00F50C37" w:rsidRPr="00D330EE" w:rsidRDefault="00CE6154" w:rsidP="0081579D">
            <w:pPr>
              <w:spacing w:after="240"/>
              <w:rPr>
                <w:rFonts w:ascii="Arial" w:hAnsi="Arial" w:cs="Arial"/>
                <w:sz w:val="20"/>
                <w:szCs w:val="20"/>
              </w:rPr>
            </w:pPr>
            <w:r w:rsidRPr="00D330EE">
              <w:rPr>
                <w:rFonts w:ascii="Arial" w:hAnsi="Arial" w:cs="Arial"/>
                <w:sz w:val="20"/>
                <w:szCs w:val="20"/>
              </w:rPr>
              <w:t>Manchester and other textile goods retailing</w:t>
            </w:r>
          </w:p>
        </w:tc>
        <w:tc>
          <w:tcPr>
            <w:tcW w:w="2436" w:type="dxa"/>
            <w:tcBorders>
              <w:top w:val="nil"/>
              <w:left w:val="nil"/>
              <w:bottom w:val="nil"/>
              <w:right w:val="nil"/>
            </w:tcBorders>
            <w:shd w:val="clear" w:color="auto" w:fill="auto"/>
            <w:vAlign w:val="center"/>
            <w:hideMark/>
          </w:tcPr>
          <w:p w:rsidR="00F50C37" w:rsidRPr="00D330EE" w:rsidRDefault="00CE6154" w:rsidP="00057880">
            <w:pPr>
              <w:spacing w:after="240"/>
              <w:jc w:val="center"/>
              <w:rPr>
                <w:rFonts w:ascii="Arial" w:hAnsi="Arial" w:cs="Arial"/>
                <w:sz w:val="20"/>
                <w:szCs w:val="20"/>
              </w:rPr>
            </w:pPr>
            <w:r w:rsidRPr="00D330EE">
              <w:rPr>
                <w:rFonts w:ascii="Arial" w:hAnsi="Arial" w:cs="Arial"/>
                <w:sz w:val="20"/>
                <w:szCs w:val="20"/>
              </w:rPr>
              <w:t>1 585</w:t>
            </w:r>
          </w:p>
        </w:tc>
        <w:tc>
          <w:tcPr>
            <w:tcW w:w="2348" w:type="dxa"/>
            <w:tcBorders>
              <w:top w:val="nil"/>
              <w:left w:val="nil"/>
              <w:bottom w:val="nil"/>
              <w:right w:val="nil"/>
            </w:tcBorders>
            <w:shd w:val="clear" w:color="auto" w:fill="auto"/>
            <w:vAlign w:val="center"/>
            <w:hideMark/>
          </w:tcPr>
          <w:p w:rsidR="00F50C37" w:rsidRPr="00D330EE" w:rsidRDefault="00F50C37" w:rsidP="0081579D">
            <w:pPr>
              <w:spacing w:after="240"/>
              <w:jc w:val="center"/>
              <w:rPr>
                <w:rFonts w:ascii="Arial" w:hAnsi="Arial" w:cs="Arial"/>
                <w:sz w:val="20"/>
                <w:szCs w:val="20"/>
              </w:rPr>
            </w:pPr>
            <w:r w:rsidRPr="00D330EE">
              <w:rPr>
                <w:rFonts w:ascii="Arial" w:hAnsi="Arial" w:cs="Arial"/>
                <w:sz w:val="20"/>
                <w:szCs w:val="20"/>
              </w:rPr>
              <w:t>2.</w:t>
            </w:r>
            <w:r w:rsidR="0081579D" w:rsidRPr="00D330EE">
              <w:rPr>
                <w:rFonts w:ascii="Arial" w:hAnsi="Arial" w:cs="Arial"/>
                <w:sz w:val="20"/>
                <w:szCs w:val="20"/>
              </w:rPr>
              <w:t>1</w:t>
            </w:r>
            <w:r w:rsidR="0081579D" w:rsidRPr="00D330EE">
              <w:rPr>
                <w:rStyle w:val="FootnoteReference"/>
                <w:rFonts w:ascii="Arial" w:hAnsi="Arial" w:cs="Arial"/>
                <w:sz w:val="20"/>
                <w:szCs w:val="20"/>
              </w:rPr>
              <w:footnoteReference w:id="96"/>
            </w:r>
          </w:p>
        </w:tc>
        <w:tc>
          <w:tcPr>
            <w:tcW w:w="2085" w:type="dxa"/>
            <w:tcBorders>
              <w:top w:val="nil"/>
              <w:left w:val="nil"/>
              <w:bottom w:val="nil"/>
              <w:right w:val="nil"/>
            </w:tcBorders>
            <w:shd w:val="clear" w:color="auto" w:fill="auto"/>
            <w:vAlign w:val="center"/>
            <w:hideMark/>
          </w:tcPr>
          <w:p w:rsidR="00F50C37" w:rsidRPr="00D330EE" w:rsidRDefault="0081579D">
            <w:pPr>
              <w:spacing w:after="240"/>
              <w:jc w:val="center"/>
              <w:rPr>
                <w:rFonts w:ascii="Arial" w:hAnsi="Arial" w:cs="Arial"/>
                <w:sz w:val="20"/>
                <w:szCs w:val="20"/>
              </w:rPr>
            </w:pPr>
            <w:r w:rsidRPr="00D330EE">
              <w:rPr>
                <w:rFonts w:ascii="Arial" w:hAnsi="Arial" w:cs="Arial"/>
                <w:sz w:val="20"/>
                <w:szCs w:val="20"/>
              </w:rPr>
              <w:t>102.7</w:t>
            </w:r>
            <w:r w:rsidR="001E5F70">
              <w:rPr>
                <w:rStyle w:val="FootnoteReference"/>
                <w:rFonts w:ascii="Arial" w:hAnsi="Arial" w:cs="Arial"/>
                <w:sz w:val="20"/>
                <w:szCs w:val="20"/>
              </w:rPr>
              <w:footnoteReference w:id="97"/>
            </w:r>
          </w:p>
        </w:tc>
      </w:tr>
      <w:tr w:rsidR="00F50C37" w:rsidRPr="0081579D" w:rsidTr="00057880">
        <w:tc>
          <w:tcPr>
            <w:tcW w:w="2376" w:type="dxa"/>
            <w:tcBorders>
              <w:top w:val="nil"/>
              <w:left w:val="nil"/>
              <w:bottom w:val="nil"/>
              <w:right w:val="nil"/>
            </w:tcBorders>
            <w:shd w:val="clear" w:color="auto" w:fill="auto"/>
            <w:hideMark/>
          </w:tcPr>
          <w:p w:rsidR="00F50C37" w:rsidRPr="00D330EE" w:rsidRDefault="00F50C37" w:rsidP="0081579D">
            <w:pPr>
              <w:spacing w:after="240"/>
              <w:rPr>
                <w:rFonts w:ascii="Arial" w:hAnsi="Arial" w:cs="Arial"/>
                <w:sz w:val="20"/>
                <w:szCs w:val="20"/>
              </w:rPr>
            </w:pPr>
            <w:r w:rsidRPr="00D330EE">
              <w:rPr>
                <w:rFonts w:ascii="Arial" w:hAnsi="Arial" w:cs="Arial"/>
                <w:sz w:val="20"/>
                <w:szCs w:val="20"/>
              </w:rPr>
              <w:t xml:space="preserve">Clothing </w:t>
            </w:r>
            <w:r w:rsidR="00CE6154" w:rsidRPr="00D330EE">
              <w:rPr>
                <w:rFonts w:ascii="Arial" w:hAnsi="Arial" w:cs="Arial"/>
                <w:sz w:val="20"/>
                <w:szCs w:val="20"/>
              </w:rPr>
              <w:t xml:space="preserve">and footwear </w:t>
            </w:r>
            <w:r w:rsidRPr="00D330EE">
              <w:rPr>
                <w:rFonts w:ascii="Arial" w:hAnsi="Arial" w:cs="Arial"/>
                <w:sz w:val="20"/>
                <w:szCs w:val="20"/>
              </w:rPr>
              <w:t>wholesaling</w:t>
            </w:r>
          </w:p>
        </w:tc>
        <w:tc>
          <w:tcPr>
            <w:tcW w:w="2436" w:type="dxa"/>
            <w:tcBorders>
              <w:top w:val="nil"/>
              <w:left w:val="nil"/>
              <w:bottom w:val="nil"/>
              <w:right w:val="nil"/>
            </w:tcBorders>
            <w:shd w:val="clear" w:color="auto" w:fill="auto"/>
            <w:vAlign w:val="center"/>
            <w:hideMark/>
          </w:tcPr>
          <w:p w:rsidR="00F50C37" w:rsidRPr="00D330EE" w:rsidRDefault="00F50C37" w:rsidP="00CE6154">
            <w:pPr>
              <w:spacing w:after="240"/>
              <w:jc w:val="center"/>
              <w:rPr>
                <w:rFonts w:ascii="Arial" w:hAnsi="Arial" w:cs="Arial"/>
                <w:sz w:val="20"/>
                <w:szCs w:val="20"/>
              </w:rPr>
            </w:pPr>
            <w:r w:rsidRPr="00D330EE">
              <w:rPr>
                <w:rFonts w:ascii="Arial" w:hAnsi="Arial" w:cs="Arial"/>
                <w:sz w:val="20"/>
                <w:szCs w:val="20"/>
              </w:rPr>
              <w:t>4 </w:t>
            </w:r>
            <w:r w:rsidR="00CE6154" w:rsidRPr="00D330EE">
              <w:rPr>
                <w:rFonts w:ascii="Arial" w:hAnsi="Arial" w:cs="Arial"/>
                <w:sz w:val="20"/>
                <w:szCs w:val="20"/>
              </w:rPr>
              <w:t>131</w:t>
            </w:r>
          </w:p>
        </w:tc>
        <w:tc>
          <w:tcPr>
            <w:tcW w:w="2348" w:type="dxa"/>
            <w:tcBorders>
              <w:top w:val="nil"/>
              <w:left w:val="nil"/>
              <w:bottom w:val="nil"/>
              <w:right w:val="nil"/>
            </w:tcBorders>
            <w:shd w:val="clear" w:color="auto" w:fill="auto"/>
            <w:vAlign w:val="center"/>
            <w:hideMark/>
          </w:tcPr>
          <w:p w:rsidR="00F50C37" w:rsidRPr="00D330EE" w:rsidRDefault="00F50C37" w:rsidP="0081579D">
            <w:pPr>
              <w:spacing w:after="240"/>
              <w:jc w:val="center"/>
              <w:rPr>
                <w:rFonts w:ascii="Arial" w:hAnsi="Arial" w:cs="Arial"/>
                <w:sz w:val="20"/>
                <w:szCs w:val="20"/>
              </w:rPr>
            </w:pPr>
            <w:r w:rsidRPr="00D330EE">
              <w:rPr>
                <w:rFonts w:ascii="Arial" w:hAnsi="Arial" w:cs="Arial"/>
                <w:sz w:val="20"/>
                <w:szCs w:val="20"/>
              </w:rPr>
              <w:t>8.</w:t>
            </w:r>
            <w:r w:rsidR="0081579D" w:rsidRPr="00D330EE">
              <w:rPr>
                <w:rFonts w:ascii="Arial" w:hAnsi="Arial" w:cs="Arial"/>
                <w:sz w:val="20"/>
                <w:szCs w:val="20"/>
              </w:rPr>
              <w:t>3</w:t>
            </w:r>
            <w:r w:rsidR="0081579D" w:rsidRPr="00D330EE">
              <w:rPr>
                <w:rStyle w:val="FootnoteReference"/>
                <w:rFonts w:ascii="Arial" w:hAnsi="Arial" w:cs="Arial"/>
                <w:sz w:val="20"/>
                <w:szCs w:val="20"/>
              </w:rPr>
              <w:footnoteReference w:id="98"/>
            </w:r>
          </w:p>
        </w:tc>
        <w:tc>
          <w:tcPr>
            <w:tcW w:w="2085" w:type="dxa"/>
            <w:tcBorders>
              <w:top w:val="nil"/>
              <w:left w:val="nil"/>
              <w:bottom w:val="nil"/>
              <w:right w:val="nil"/>
            </w:tcBorders>
            <w:shd w:val="clear" w:color="auto" w:fill="auto"/>
            <w:vAlign w:val="center"/>
            <w:hideMark/>
          </w:tcPr>
          <w:p w:rsidR="00F50C37" w:rsidRPr="00D330EE" w:rsidRDefault="0081579D">
            <w:pPr>
              <w:spacing w:after="240"/>
              <w:jc w:val="center"/>
              <w:rPr>
                <w:rFonts w:ascii="Arial" w:hAnsi="Arial" w:cs="Arial"/>
                <w:sz w:val="20"/>
                <w:szCs w:val="20"/>
              </w:rPr>
            </w:pPr>
            <w:r w:rsidRPr="00D330EE">
              <w:rPr>
                <w:rFonts w:ascii="Arial" w:hAnsi="Arial" w:cs="Arial"/>
                <w:sz w:val="20"/>
                <w:szCs w:val="20"/>
              </w:rPr>
              <w:t>478.5</w:t>
            </w:r>
            <w:r w:rsidR="001E5F70">
              <w:rPr>
                <w:rStyle w:val="FootnoteReference"/>
                <w:rFonts w:ascii="Arial" w:hAnsi="Arial" w:cs="Arial"/>
                <w:sz w:val="20"/>
                <w:szCs w:val="20"/>
              </w:rPr>
              <w:footnoteReference w:id="99"/>
            </w:r>
          </w:p>
        </w:tc>
      </w:tr>
      <w:tr w:rsidR="00057880" w:rsidRPr="0081579D" w:rsidTr="00057880">
        <w:tc>
          <w:tcPr>
            <w:tcW w:w="2376" w:type="dxa"/>
            <w:tcBorders>
              <w:top w:val="nil"/>
              <w:left w:val="nil"/>
              <w:bottom w:val="single" w:sz="12" w:space="0" w:color="auto"/>
              <w:right w:val="nil"/>
            </w:tcBorders>
            <w:shd w:val="clear" w:color="auto" w:fill="auto"/>
            <w:hideMark/>
          </w:tcPr>
          <w:p w:rsidR="00F50C37" w:rsidRPr="00D330EE" w:rsidRDefault="00F50C37" w:rsidP="0081579D">
            <w:pPr>
              <w:spacing w:after="240"/>
              <w:rPr>
                <w:rFonts w:ascii="Arial" w:hAnsi="Arial" w:cs="Arial"/>
                <w:sz w:val="20"/>
                <w:szCs w:val="20"/>
              </w:rPr>
            </w:pPr>
            <w:r w:rsidRPr="00D330EE">
              <w:rPr>
                <w:rFonts w:ascii="Arial" w:hAnsi="Arial" w:cs="Arial"/>
                <w:sz w:val="20"/>
                <w:szCs w:val="20"/>
              </w:rPr>
              <w:t>Textile product wholesaling</w:t>
            </w:r>
          </w:p>
        </w:tc>
        <w:tc>
          <w:tcPr>
            <w:tcW w:w="2436" w:type="dxa"/>
            <w:tcBorders>
              <w:top w:val="nil"/>
              <w:left w:val="nil"/>
              <w:bottom w:val="single" w:sz="12" w:space="0" w:color="auto"/>
              <w:right w:val="nil"/>
            </w:tcBorders>
            <w:shd w:val="clear" w:color="auto" w:fill="auto"/>
            <w:vAlign w:val="center"/>
            <w:hideMark/>
          </w:tcPr>
          <w:p w:rsidR="00F50C37" w:rsidRPr="00D330EE" w:rsidRDefault="00CE6154" w:rsidP="00057880">
            <w:pPr>
              <w:spacing w:after="240"/>
              <w:jc w:val="center"/>
              <w:rPr>
                <w:rFonts w:ascii="Arial" w:hAnsi="Arial" w:cs="Arial"/>
                <w:sz w:val="20"/>
                <w:szCs w:val="20"/>
              </w:rPr>
            </w:pPr>
            <w:r w:rsidRPr="00D330EE">
              <w:rPr>
                <w:rFonts w:ascii="Arial" w:hAnsi="Arial" w:cs="Arial"/>
                <w:sz w:val="20"/>
                <w:szCs w:val="20"/>
              </w:rPr>
              <w:t>1</w:t>
            </w:r>
            <w:r w:rsidR="009F1FDF">
              <w:rPr>
                <w:rFonts w:ascii="Arial" w:hAnsi="Arial" w:cs="Arial"/>
                <w:sz w:val="20"/>
                <w:szCs w:val="20"/>
              </w:rPr>
              <w:t> </w:t>
            </w:r>
            <w:r w:rsidRPr="00D330EE">
              <w:rPr>
                <w:rFonts w:ascii="Arial" w:hAnsi="Arial" w:cs="Arial"/>
                <w:sz w:val="20"/>
                <w:szCs w:val="20"/>
              </w:rPr>
              <w:t xml:space="preserve">261 </w:t>
            </w:r>
          </w:p>
        </w:tc>
        <w:tc>
          <w:tcPr>
            <w:tcW w:w="2348" w:type="dxa"/>
            <w:tcBorders>
              <w:top w:val="nil"/>
              <w:left w:val="nil"/>
              <w:bottom w:val="single" w:sz="12" w:space="0" w:color="auto"/>
              <w:right w:val="nil"/>
            </w:tcBorders>
            <w:shd w:val="clear" w:color="auto" w:fill="auto"/>
            <w:vAlign w:val="center"/>
            <w:hideMark/>
          </w:tcPr>
          <w:p w:rsidR="00F50C37" w:rsidRPr="00D330EE" w:rsidRDefault="0081579D" w:rsidP="00057880">
            <w:pPr>
              <w:spacing w:after="240"/>
              <w:jc w:val="center"/>
              <w:rPr>
                <w:rFonts w:ascii="Arial" w:hAnsi="Arial" w:cs="Arial"/>
                <w:sz w:val="20"/>
                <w:szCs w:val="20"/>
              </w:rPr>
            </w:pPr>
            <w:r w:rsidRPr="00D330EE">
              <w:rPr>
                <w:rFonts w:ascii="Arial" w:hAnsi="Arial" w:cs="Arial"/>
                <w:sz w:val="20"/>
                <w:szCs w:val="20"/>
              </w:rPr>
              <w:t>2.4</w:t>
            </w:r>
            <w:r w:rsidRPr="009F1FDF">
              <w:rPr>
                <w:rStyle w:val="FootnoteReference"/>
                <w:rFonts w:ascii="Arial" w:hAnsi="Arial" w:cs="Arial"/>
                <w:sz w:val="16"/>
                <w:szCs w:val="16"/>
              </w:rPr>
              <w:footnoteReference w:id="100"/>
            </w:r>
          </w:p>
        </w:tc>
        <w:tc>
          <w:tcPr>
            <w:tcW w:w="2085" w:type="dxa"/>
            <w:tcBorders>
              <w:top w:val="nil"/>
              <w:left w:val="nil"/>
              <w:bottom w:val="single" w:sz="12" w:space="0" w:color="auto"/>
              <w:right w:val="nil"/>
            </w:tcBorders>
            <w:shd w:val="clear" w:color="auto" w:fill="auto"/>
            <w:vAlign w:val="center"/>
            <w:hideMark/>
          </w:tcPr>
          <w:p w:rsidR="00F50C37" w:rsidRPr="00D330EE" w:rsidRDefault="0081579D" w:rsidP="00057880">
            <w:pPr>
              <w:spacing w:after="240"/>
              <w:jc w:val="center"/>
              <w:rPr>
                <w:rFonts w:ascii="Arial" w:hAnsi="Arial" w:cs="Arial"/>
                <w:sz w:val="20"/>
                <w:szCs w:val="20"/>
              </w:rPr>
            </w:pPr>
            <w:r w:rsidRPr="00D330EE">
              <w:rPr>
                <w:rFonts w:ascii="Arial" w:hAnsi="Arial" w:cs="Arial"/>
                <w:sz w:val="20"/>
                <w:szCs w:val="20"/>
              </w:rPr>
              <w:t>86.0</w:t>
            </w:r>
            <w:r w:rsidRPr="00D330EE">
              <w:rPr>
                <w:rStyle w:val="FootnoteReference"/>
                <w:sz w:val="20"/>
                <w:szCs w:val="20"/>
              </w:rPr>
              <w:t>98</w:t>
            </w:r>
            <w:r w:rsidR="001E5F70" w:rsidRPr="009F1FDF">
              <w:rPr>
                <w:rStyle w:val="FootnoteReference"/>
                <w:rFonts w:ascii="Arial" w:hAnsi="Arial" w:cs="Arial"/>
                <w:sz w:val="16"/>
                <w:szCs w:val="16"/>
              </w:rPr>
              <w:footnoteReference w:id="101"/>
            </w:r>
          </w:p>
        </w:tc>
      </w:tr>
    </w:tbl>
    <w:p w:rsidR="00F50C37" w:rsidRDefault="00F50C37" w:rsidP="00F50C37">
      <w:pPr>
        <w:spacing w:after="240"/>
        <w:rPr>
          <w:rFonts w:ascii="Arial" w:hAnsi="Arial" w:cs="Arial"/>
        </w:rPr>
      </w:pPr>
    </w:p>
    <w:p w:rsidR="00F50C37" w:rsidRPr="00690F06" w:rsidRDefault="00F50C37" w:rsidP="00F50C37">
      <w:pPr>
        <w:spacing w:after="240"/>
        <w:rPr>
          <w:rFonts w:ascii="Arial" w:hAnsi="Arial" w:cs="Arial"/>
        </w:rPr>
      </w:pPr>
      <w:r w:rsidRPr="00690F06">
        <w:rPr>
          <w:rFonts w:ascii="Arial" w:hAnsi="Arial" w:cs="Arial"/>
        </w:rPr>
        <w:t>The problem relates only to articles likely to be in direct and prolonged contact with the skin. However the likely list of products affected will be extensive and includes (but is not necessarily limited to) dyed underwear, socks, leggings, jeans, pants, shirts and tops, nightwear, dresses, inner articles of sports and work wear, school and work uniforms, baby clothes, cloth nap</w:t>
      </w:r>
      <w:r w:rsidR="00B41432">
        <w:rPr>
          <w:rFonts w:ascii="Arial" w:hAnsi="Arial" w:cs="Arial"/>
        </w:rPr>
        <w:t>pies, sheets and pillow cases.</w:t>
      </w:r>
    </w:p>
    <w:p w:rsidR="00F50C37" w:rsidRPr="00690F06" w:rsidRDefault="00F50C37" w:rsidP="00F50C37">
      <w:pPr>
        <w:spacing w:after="240"/>
        <w:rPr>
          <w:rFonts w:ascii="Arial" w:hAnsi="Arial" w:cs="Arial"/>
        </w:rPr>
      </w:pPr>
      <w:r w:rsidRPr="00690F06">
        <w:rPr>
          <w:rFonts w:ascii="Arial" w:hAnsi="Arial" w:cs="Arial"/>
        </w:rPr>
        <w:lastRenderedPageBreak/>
        <w:t>It appears that clothing retailers are tending to bypass wholesalers as retailers source more products directly from low cost manufacturers. So some products will be sourced direct from factories and others will be supplied via wholesalers.</w:t>
      </w:r>
      <w:r w:rsidRPr="00690F06">
        <w:rPr>
          <w:rStyle w:val="FootnoteReference"/>
          <w:rFonts w:ascii="Arial" w:hAnsi="Arial" w:cs="Arial"/>
        </w:rPr>
        <w:footnoteReference w:id="102"/>
      </w:r>
      <w:r w:rsidRPr="00690F06">
        <w:rPr>
          <w:rFonts w:ascii="Arial" w:hAnsi="Arial" w:cs="Arial"/>
        </w:rPr>
        <w:t xml:space="preserve"> </w:t>
      </w:r>
    </w:p>
    <w:p w:rsidR="00F50C37" w:rsidRPr="00690F06" w:rsidRDefault="00F50C37" w:rsidP="00F50C37">
      <w:pPr>
        <w:spacing w:after="240"/>
        <w:rPr>
          <w:rFonts w:ascii="Arial" w:hAnsi="Arial" w:cs="Arial"/>
        </w:rPr>
      </w:pPr>
      <w:r w:rsidRPr="00690F06">
        <w:rPr>
          <w:rFonts w:ascii="Arial" w:hAnsi="Arial" w:cs="Arial"/>
        </w:rPr>
        <w:t xml:space="preserve">The online supply of clothing is also growing. Consumers are increasingly purchasing online and as the individual operators of online sales platforms can be hard to identify and engage with, </w:t>
      </w:r>
      <w:r>
        <w:rPr>
          <w:rFonts w:ascii="Arial" w:hAnsi="Arial" w:cs="Arial"/>
        </w:rPr>
        <w:t>it may be</w:t>
      </w:r>
      <w:r w:rsidRPr="00690F06">
        <w:rPr>
          <w:rFonts w:ascii="Arial" w:hAnsi="Arial" w:cs="Arial"/>
        </w:rPr>
        <w:t xml:space="preserve"> difficult to obtain robust assurance that the manufacturer or wholesaler has supplied safe goods.</w:t>
      </w:r>
    </w:p>
    <w:p w:rsidR="00F50C37" w:rsidRDefault="00F50C37" w:rsidP="00F50C37">
      <w:pPr>
        <w:rPr>
          <w:rFonts w:ascii="Arial" w:hAnsi="Arial" w:cs="Arial"/>
        </w:rPr>
      </w:pPr>
      <w:r w:rsidRPr="00690F06">
        <w:rPr>
          <w:rFonts w:ascii="Arial" w:hAnsi="Arial" w:cs="Arial"/>
        </w:rPr>
        <w:t>Ideally, suppliers will be aware of the broad safety framework under the general provisions of the ACL and should be supplying safe goods to consumers. Where this approach does not result in safe products, other intervention</w:t>
      </w:r>
      <w:r>
        <w:rPr>
          <w:rFonts w:ascii="Arial" w:hAnsi="Arial" w:cs="Arial"/>
        </w:rPr>
        <w:t>s</w:t>
      </w:r>
      <w:r w:rsidRPr="00690F06">
        <w:rPr>
          <w:rFonts w:ascii="Arial" w:hAnsi="Arial" w:cs="Arial"/>
        </w:rPr>
        <w:t xml:space="preserve"> including </w:t>
      </w:r>
      <w:r>
        <w:rPr>
          <w:rFonts w:ascii="Arial" w:hAnsi="Arial" w:cs="Arial"/>
        </w:rPr>
        <w:t xml:space="preserve">non-regulatory and </w:t>
      </w:r>
      <w:r w:rsidRPr="00690F06">
        <w:rPr>
          <w:rFonts w:ascii="Arial" w:hAnsi="Arial" w:cs="Arial"/>
        </w:rPr>
        <w:t>regulat</w:t>
      </w:r>
      <w:r>
        <w:rPr>
          <w:rFonts w:ascii="Arial" w:hAnsi="Arial" w:cs="Arial"/>
        </w:rPr>
        <w:t>ory</w:t>
      </w:r>
      <w:r w:rsidRPr="00690F06">
        <w:rPr>
          <w:rFonts w:ascii="Arial" w:hAnsi="Arial" w:cs="Arial"/>
        </w:rPr>
        <w:t xml:space="preserve"> </w:t>
      </w:r>
      <w:r>
        <w:rPr>
          <w:rFonts w:ascii="Arial" w:hAnsi="Arial" w:cs="Arial"/>
        </w:rPr>
        <w:t>measures</w:t>
      </w:r>
      <w:r w:rsidRPr="00690F06">
        <w:rPr>
          <w:rFonts w:ascii="Arial" w:hAnsi="Arial" w:cs="Arial"/>
        </w:rPr>
        <w:t xml:space="preserve"> can be considered to improve consumer protection.</w:t>
      </w:r>
    </w:p>
    <w:p w:rsidR="005C0360" w:rsidRDefault="005C0360" w:rsidP="00F50C37">
      <w:pPr>
        <w:rPr>
          <w:rFonts w:ascii="Arial" w:hAnsi="Arial" w:cs="Arial"/>
        </w:rPr>
      </w:pPr>
    </w:p>
    <w:p w:rsidR="00F50C37" w:rsidRDefault="003B6AE3" w:rsidP="00F50C37">
      <w:r>
        <w:rPr>
          <w:rFonts w:ascii="Arial" w:hAnsi="Arial" w:cs="Arial"/>
        </w:rPr>
        <w:br w:type="page"/>
      </w:r>
    </w:p>
    <w:p w:rsidR="00F50C37" w:rsidRPr="00B7209D" w:rsidRDefault="00E91CD0" w:rsidP="00F50C37">
      <w:pPr>
        <w:pStyle w:val="Heading1"/>
        <w:spacing w:before="120"/>
        <w:rPr>
          <w:rFonts w:ascii="Lucida Fax" w:hAnsi="Lucida Fax"/>
        </w:rPr>
      </w:pPr>
      <w:bookmarkStart w:id="112" w:name="_Toc412196653"/>
      <w:r w:rsidRPr="00B7209D">
        <w:rPr>
          <w:rFonts w:ascii="Lucida Fax" w:hAnsi="Lucida Fax"/>
        </w:rPr>
        <w:t>Attachment </w:t>
      </w:r>
      <w:r w:rsidR="005C0360" w:rsidRPr="00B7209D">
        <w:rPr>
          <w:rFonts w:ascii="Lucida Fax" w:hAnsi="Lucida Fax"/>
        </w:rPr>
        <w:t>7</w:t>
      </w:r>
      <w:r w:rsidR="0078383B" w:rsidRPr="00B7209D">
        <w:rPr>
          <w:rFonts w:ascii="Lucida Fax" w:hAnsi="Lucida Fax"/>
        </w:rPr>
        <w:t>:</w:t>
      </w:r>
      <w:r w:rsidR="0078383B" w:rsidRPr="00B7209D">
        <w:rPr>
          <w:rFonts w:ascii="Lucida Fax" w:hAnsi="Lucida Fax"/>
        </w:rPr>
        <w:tab/>
      </w:r>
      <w:r w:rsidR="00345D16">
        <w:rPr>
          <w:rFonts w:ascii="Lucida Fax" w:hAnsi="Lucida Fax"/>
        </w:rPr>
        <w:t>International c</w:t>
      </w:r>
      <w:r w:rsidR="00F50C37" w:rsidRPr="00B7209D">
        <w:rPr>
          <w:rFonts w:ascii="Lucida Fax" w:hAnsi="Lucida Fax"/>
        </w:rPr>
        <w:t>ontrols</w:t>
      </w:r>
      <w:bookmarkEnd w:id="112"/>
    </w:p>
    <w:p w:rsidR="00565345" w:rsidRDefault="00565345" w:rsidP="00F50C37">
      <w:pPr>
        <w:spacing w:before="240" w:after="240"/>
        <w:rPr>
          <w:rFonts w:ascii="Arial" w:hAnsi="Arial" w:cs="Arial"/>
        </w:rPr>
      </w:pPr>
      <w:r>
        <w:rPr>
          <w:rFonts w:ascii="Arial" w:hAnsi="Arial" w:cs="Arial"/>
        </w:rPr>
        <w:t>There are a number of international controls on both articles dyed with hazardous azo dyes and the hazardous azo dyes</w:t>
      </w:r>
      <w:r w:rsidR="0084423A">
        <w:rPr>
          <w:rFonts w:ascii="Arial" w:hAnsi="Arial" w:cs="Arial"/>
        </w:rPr>
        <w:t xml:space="preserve"> themselves</w:t>
      </w:r>
      <w:r>
        <w:rPr>
          <w:rFonts w:ascii="Arial" w:hAnsi="Arial" w:cs="Arial"/>
        </w:rPr>
        <w:t>. These controls are described below.</w:t>
      </w:r>
    </w:p>
    <w:p w:rsidR="00565345" w:rsidRPr="00565345" w:rsidRDefault="00565345" w:rsidP="00F50C37">
      <w:pPr>
        <w:spacing w:before="240" w:after="240"/>
        <w:rPr>
          <w:rFonts w:ascii="Arial" w:hAnsi="Arial" w:cs="Arial"/>
          <w:i/>
        </w:rPr>
      </w:pPr>
      <w:r w:rsidRPr="00565345">
        <w:rPr>
          <w:rFonts w:ascii="Arial" w:hAnsi="Arial" w:cs="Arial"/>
          <w:i/>
        </w:rPr>
        <w:t xml:space="preserve">Controls on articles dyed with hazardous </w:t>
      </w:r>
      <w:r w:rsidR="0084423A">
        <w:rPr>
          <w:rFonts w:ascii="Arial" w:hAnsi="Arial" w:cs="Arial"/>
          <w:i/>
        </w:rPr>
        <w:t>azo dyes</w:t>
      </w:r>
    </w:p>
    <w:p w:rsidR="00F50C37" w:rsidRPr="00690F06" w:rsidRDefault="00F50C37" w:rsidP="00F50C37">
      <w:pPr>
        <w:spacing w:before="240" w:after="240"/>
        <w:rPr>
          <w:rFonts w:ascii="Arial" w:hAnsi="Arial" w:cs="Arial"/>
        </w:rPr>
      </w:pPr>
      <w:r w:rsidRPr="00690F06">
        <w:rPr>
          <w:rFonts w:ascii="Arial" w:hAnsi="Arial" w:cs="Arial"/>
        </w:rPr>
        <w:t xml:space="preserve">In the EU, </w:t>
      </w:r>
      <w:r w:rsidR="005D7F60" w:rsidRPr="00690F06">
        <w:rPr>
          <w:rFonts w:ascii="Arial" w:hAnsi="Arial" w:cs="Arial"/>
        </w:rPr>
        <w:t>22</w:t>
      </w:r>
      <w:r w:rsidR="005D7F60">
        <w:rPr>
          <w:rFonts w:ascii="Arial" w:hAnsi="Arial" w:cs="Arial"/>
        </w:rPr>
        <w:t> </w:t>
      </w:r>
      <w:r w:rsidRPr="00690F06">
        <w:rPr>
          <w:rFonts w:ascii="Arial" w:hAnsi="Arial" w:cs="Arial"/>
        </w:rPr>
        <w:t xml:space="preserve">hazardous aromatic amines derived from certain azo dyes are restricted in articles which may come into direct and prolonged contact with the human skin or oral cavity. The maximum total concentration for all of the hazardous aromatic amines is </w:t>
      </w:r>
      <w:r w:rsidR="005D7F60" w:rsidRPr="00690F06">
        <w:rPr>
          <w:rFonts w:ascii="Arial" w:hAnsi="Arial" w:cs="Arial"/>
        </w:rPr>
        <w:t>30</w:t>
      </w:r>
      <w:r w:rsidR="005D7F60">
        <w:rPr>
          <w:rFonts w:ascii="Arial" w:hAnsi="Arial" w:cs="Arial"/>
        </w:rPr>
        <w:t> </w:t>
      </w:r>
      <w:r w:rsidRPr="00690F06">
        <w:rPr>
          <w:rFonts w:ascii="Arial" w:hAnsi="Arial" w:cs="Arial"/>
        </w:rPr>
        <w:t xml:space="preserve">mg/kg (or </w:t>
      </w:r>
      <w:r w:rsidR="005D7F60" w:rsidRPr="00690F06">
        <w:rPr>
          <w:rFonts w:ascii="Arial" w:hAnsi="Arial" w:cs="Arial"/>
        </w:rPr>
        <w:t>30</w:t>
      </w:r>
      <w:r w:rsidR="005D7F60">
        <w:rPr>
          <w:rFonts w:ascii="Arial" w:hAnsi="Arial" w:cs="Arial"/>
        </w:rPr>
        <w:t> </w:t>
      </w:r>
      <w:r w:rsidRPr="00690F06">
        <w:rPr>
          <w:rFonts w:ascii="Arial" w:hAnsi="Arial" w:cs="Arial"/>
        </w:rPr>
        <w:t>parts per million).</w:t>
      </w:r>
      <w:r w:rsidRPr="00690F06">
        <w:rPr>
          <w:rStyle w:val="FootnoteReference"/>
          <w:rFonts w:ascii="Arial" w:hAnsi="Arial" w:cs="Arial"/>
        </w:rPr>
        <w:footnoteReference w:id="103"/>
      </w:r>
      <w:r w:rsidRPr="00690F06">
        <w:rPr>
          <w:rFonts w:ascii="Arial" w:hAnsi="Arial" w:cs="Arial"/>
        </w:rPr>
        <w:t xml:space="preserve"> The full list of </w:t>
      </w:r>
      <w:r w:rsidR="005D7F60" w:rsidRPr="00690F06">
        <w:rPr>
          <w:rFonts w:ascii="Arial" w:hAnsi="Arial" w:cs="Arial"/>
        </w:rPr>
        <w:t>22</w:t>
      </w:r>
      <w:r w:rsidR="005D7F60">
        <w:rPr>
          <w:rFonts w:ascii="Arial" w:hAnsi="Arial" w:cs="Arial"/>
        </w:rPr>
        <w:t> </w:t>
      </w:r>
      <w:r w:rsidRPr="00690F06">
        <w:rPr>
          <w:rFonts w:ascii="Arial" w:hAnsi="Arial" w:cs="Arial"/>
        </w:rPr>
        <w:t>hazardous aromatic a</w:t>
      </w:r>
      <w:r w:rsidR="00B41432">
        <w:rPr>
          <w:rFonts w:ascii="Arial" w:hAnsi="Arial" w:cs="Arial"/>
        </w:rPr>
        <w:t>mines is provided in Attachment</w:t>
      </w:r>
      <w:r w:rsidR="005D7F60">
        <w:rPr>
          <w:rFonts w:ascii="Arial" w:hAnsi="Arial" w:cs="Arial"/>
        </w:rPr>
        <w:t> 9</w:t>
      </w:r>
      <w:r w:rsidRPr="00690F06">
        <w:rPr>
          <w:rFonts w:ascii="Arial" w:hAnsi="Arial" w:cs="Arial"/>
        </w:rPr>
        <w:t>.</w:t>
      </w:r>
    </w:p>
    <w:p w:rsidR="00F50C37" w:rsidRPr="00690F06" w:rsidRDefault="00F50C37" w:rsidP="00F50C37">
      <w:pPr>
        <w:spacing w:after="240"/>
        <w:rPr>
          <w:rFonts w:ascii="Arial" w:hAnsi="Arial" w:cs="Arial"/>
        </w:rPr>
      </w:pPr>
      <w:r w:rsidRPr="00690F06">
        <w:rPr>
          <w:rFonts w:ascii="Arial" w:hAnsi="Arial" w:cs="Arial"/>
        </w:rPr>
        <w:t xml:space="preserve">In China, the limit for hazardous aromatic amines in leather and fur products is </w:t>
      </w:r>
      <w:r w:rsidR="005D7F60" w:rsidRPr="00690F06">
        <w:rPr>
          <w:rFonts w:ascii="Arial" w:hAnsi="Arial" w:cs="Arial"/>
        </w:rPr>
        <w:t>30</w:t>
      </w:r>
      <w:r w:rsidR="005D7F60">
        <w:rPr>
          <w:rFonts w:ascii="Arial" w:hAnsi="Arial" w:cs="Arial"/>
        </w:rPr>
        <w:t> </w:t>
      </w:r>
      <w:r w:rsidRPr="00690F06">
        <w:rPr>
          <w:rFonts w:ascii="Arial" w:hAnsi="Arial" w:cs="Arial"/>
        </w:rPr>
        <w:t xml:space="preserve">mg/kg (the Chinese standard is </w:t>
      </w:r>
      <w:r w:rsidR="005D7F60" w:rsidRPr="00690F06">
        <w:rPr>
          <w:rFonts w:ascii="Arial" w:eastAsia="Times" w:hAnsi="Arial" w:cs="Arial"/>
          <w:bCs/>
          <w:i/>
          <w:iCs/>
        </w:rPr>
        <w:t>GB</w:t>
      </w:r>
      <w:r w:rsidR="005D7F60">
        <w:rPr>
          <w:rFonts w:ascii="Arial" w:eastAsia="Times" w:hAnsi="Arial" w:cs="Arial"/>
          <w:bCs/>
          <w:i/>
          <w:iCs/>
        </w:rPr>
        <w:t> </w:t>
      </w:r>
      <w:r w:rsidRPr="00690F06">
        <w:rPr>
          <w:rFonts w:ascii="Arial" w:eastAsia="Times" w:hAnsi="Arial" w:cs="Arial"/>
          <w:bCs/>
          <w:i/>
          <w:iCs/>
        </w:rPr>
        <w:t>20400-2006, Leather and Fur - Limit of Harmful Matter)</w:t>
      </w:r>
      <w:r w:rsidRPr="00690F06">
        <w:rPr>
          <w:rFonts w:ascii="Arial" w:hAnsi="Arial" w:cs="Arial"/>
        </w:rPr>
        <w:t>.</w:t>
      </w:r>
      <w:r w:rsidRPr="00690F06">
        <w:rPr>
          <w:rStyle w:val="FootnoteReference"/>
          <w:rFonts w:ascii="Arial" w:hAnsi="Arial" w:cs="Arial"/>
        </w:rPr>
        <w:footnoteReference w:id="104"/>
      </w:r>
      <w:r w:rsidRPr="00690F06">
        <w:rPr>
          <w:rFonts w:ascii="Arial" w:hAnsi="Arial" w:cs="Arial"/>
        </w:rPr>
        <w:t xml:space="preserve"> </w:t>
      </w:r>
      <w:r w:rsidR="009346D2">
        <w:rPr>
          <w:rFonts w:ascii="Arial" w:hAnsi="Arial" w:cs="Arial"/>
        </w:rPr>
        <w:t>C</w:t>
      </w:r>
      <w:r w:rsidRPr="00690F06">
        <w:rPr>
          <w:rFonts w:ascii="Arial" w:hAnsi="Arial" w:cs="Arial"/>
        </w:rPr>
        <w:t xml:space="preserve">arcinogenic aromatic amines are banned in any apparel, decoration textiles and household textiles placed on the Chinese market. The Chinese standard for textiles is </w:t>
      </w:r>
      <w:r w:rsidR="005D7F60" w:rsidRPr="00690F06">
        <w:rPr>
          <w:rFonts w:ascii="Arial" w:hAnsi="Arial" w:cs="Arial"/>
          <w:i/>
        </w:rPr>
        <w:t>GB</w:t>
      </w:r>
      <w:r w:rsidR="005D7F60">
        <w:rPr>
          <w:rFonts w:ascii="Arial" w:hAnsi="Arial" w:cs="Arial"/>
          <w:i/>
        </w:rPr>
        <w:t> </w:t>
      </w:r>
      <w:r w:rsidRPr="00690F06">
        <w:rPr>
          <w:rFonts w:ascii="Arial" w:hAnsi="Arial" w:cs="Arial"/>
          <w:i/>
        </w:rPr>
        <w:t>18401-2010 National General Safety Technical Code for Textile Products.</w:t>
      </w:r>
      <w:r w:rsidRPr="00690F06">
        <w:rPr>
          <w:rStyle w:val="FootnoteReference"/>
          <w:rFonts w:ascii="Arial" w:hAnsi="Arial" w:cs="Arial"/>
        </w:rPr>
        <w:footnoteReference w:id="105"/>
      </w:r>
    </w:p>
    <w:p w:rsidR="00565345" w:rsidRDefault="00F50C37" w:rsidP="00565345">
      <w:pPr>
        <w:spacing w:after="240"/>
        <w:rPr>
          <w:rFonts w:ascii="Arial" w:hAnsi="Arial" w:cs="Arial"/>
        </w:rPr>
      </w:pPr>
      <w:r w:rsidRPr="00690F06">
        <w:rPr>
          <w:rFonts w:ascii="Arial" w:hAnsi="Arial" w:cs="Arial"/>
        </w:rPr>
        <w:t xml:space="preserve">In Japan, the </w:t>
      </w:r>
      <w:r w:rsidR="005D7F60" w:rsidRPr="00690F06">
        <w:rPr>
          <w:rFonts w:ascii="Arial" w:hAnsi="Arial" w:cs="Arial"/>
        </w:rPr>
        <w:t>22</w:t>
      </w:r>
      <w:r w:rsidR="005D7F60">
        <w:rPr>
          <w:rFonts w:ascii="Arial" w:hAnsi="Arial" w:cs="Arial"/>
        </w:rPr>
        <w:t> </w:t>
      </w:r>
      <w:r w:rsidRPr="00690F06">
        <w:rPr>
          <w:rFonts w:ascii="Arial" w:hAnsi="Arial" w:cs="Arial"/>
        </w:rPr>
        <w:t>hazardous aromatic amines restricted in Europe are listed in a voluntary standard. The voluntary standard was developed by the Japan Textile Federation (JTF) and the Japan Leather Industry Association (JLIA). Compliance with the Standard may be demonstrated by providing a certificate of analysis or self-declaration.</w:t>
      </w:r>
      <w:r w:rsidRPr="00690F06">
        <w:rPr>
          <w:rStyle w:val="FootnoteReference"/>
          <w:rFonts w:ascii="Arial" w:hAnsi="Arial" w:cs="Arial"/>
        </w:rPr>
        <w:footnoteReference w:id="106"/>
      </w:r>
      <w:r w:rsidRPr="00690F06">
        <w:rPr>
          <w:rFonts w:ascii="Arial" w:hAnsi="Arial" w:cs="Arial"/>
        </w:rPr>
        <w:t xml:space="preserve"> Importation of textiles into Japan must be accompanied by test reports, certification documentation (that certain azo dyes have not been used) and information on the manufacturing facility.</w:t>
      </w:r>
      <w:r w:rsidRPr="00690F06">
        <w:rPr>
          <w:rStyle w:val="FootnoteReference"/>
          <w:rFonts w:ascii="Arial" w:hAnsi="Arial" w:cs="Arial"/>
        </w:rPr>
        <w:footnoteReference w:id="107"/>
      </w:r>
      <w:r w:rsidR="00565345" w:rsidRPr="00565345">
        <w:rPr>
          <w:rFonts w:ascii="Arial" w:hAnsi="Arial" w:cs="Arial"/>
        </w:rPr>
        <w:t xml:space="preserve"> </w:t>
      </w:r>
    </w:p>
    <w:p w:rsidR="00F50C37" w:rsidRDefault="00565345" w:rsidP="00F50C37">
      <w:pPr>
        <w:spacing w:after="240"/>
        <w:rPr>
          <w:rFonts w:ascii="Arial" w:hAnsi="Arial" w:cs="Arial"/>
        </w:rPr>
      </w:pPr>
      <w:r w:rsidRPr="00690F06">
        <w:rPr>
          <w:rFonts w:ascii="Arial" w:hAnsi="Arial" w:cs="Arial"/>
        </w:rPr>
        <w:t>In New Zealand, there are no regulations restricting the presence of hazardous aromatic amines in clothing or textile articles. After the recent ACCC survey, companies that recalled articles recently in Australia also undertook recalls in New Zealand where they had also supplied the affected articles.</w:t>
      </w:r>
    </w:p>
    <w:p w:rsidR="00565345" w:rsidRPr="00565345" w:rsidRDefault="00565345" w:rsidP="00F50C37">
      <w:pPr>
        <w:spacing w:after="240"/>
        <w:rPr>
          <w:rFonts w:ascii="Arial" w:hAnsi="Arial" w:cs="Arial"/>
          <w:i/>
        </w:rPr>
      </w:pPr>
      <w:r w:rsidRPr="00565345">
        <w:rPr>
          <w:rFonts w:ascii="Arial" w:hAnsi="Arial" w:cs="Arial"/>
          <w:i/>
        </w:rPr>
        <w:t>Controls on hazardous azo dyes</w:t>
      </w:r>
    </w:p>
    <w:p w:rsidR="00F50C37" w:rsidRPr="00690F06" w:rsidRDefault="00F50C37" w:rsidP="00F50C37">
      <w:pPr>
        <w:spacing w:after="240"/>
        <w:rPr>
          <w:rFonts w:ascii="Arial" w:hAnsi="Arial" w:cs="Arial"/>
        </w:rPr>
      </w:pPr>
      <w:r w:rsidRPr="00690F06">
        <w:rPr>
          <w:rFonts w:ascii="Arial" w:hAnsi="Arial" w:cs="Arial"/>
        </w:rPr>
        <w:t xml:space="preserve">In the United States, benzidine-based dyes are covered by a significant new use rule (SNUR) under the </w:t>
      </w:r>
      <w:r w:rsidRPr="00690F06">
        <w:rPr>
          <w:rFonts w:ascii="Arial" w:hAnsi="Arial" w:cs="Arial"/>
          <w:i/>
        </w:rPr>
        <w:t>Toxic Substances Control Act</w:t>
      </w:r>
      <w:r w:rsidRPr="00690F06">
        <w:rPr>
          <w:rFonts w:ascii="Arial" w:hAnsi="Arial" w:cs="Arial"/>
        </w:rPr>
        <w:t>. The United States Environmental Protection Agency (</w:t>
      </w:r>
      <w:r w:rsidR="005D7F60" w:rsidRPr="00690F06">
        <w:rPr>
          <w:rFonts w:ascii="Arial" w:hAnsi="Arial" w:cs="Arial"/>
        </w:rPr>
        <w:t>US</w:t>
      </w:r>
      <w:r w:rsidR="005D7F60">
        <w:rPr>
          <w:rFonts w:ascii="Arial" w:hAnsi="Arial" w:cs="Arial"/>
        </w:rPr>
        <w:t> </w:t>
      </w:r>
      <w:r w:rsidRPr="00690F06">
        <w:rPr>
          <w:rFonts w:ascii="Arial" w:hAnsi="Arial" w:cs="Arial"/>
        </w:rPr>
        <w:t xml:space="preserve">EPA) must be notified at least </w:t>
      </w:r>
      <w:r w:rsidR="005D7F60" w:rsidRPr="00690F06">
        <w:rPr>
          <w:rFonts w:ascii="Arial" w:hAnsi="Arial" w:cs="Arial"/>
        </w:rPr>
        <w:t>90</w:t>
      </w:r>
      <w:r w:rsidR="005D7F60">
        <w:rPr>
          <w:rFonts w:ascii="Arial" w:hAnsi="Arial" w:cs="Arial"/>
        </w:rPr>
        <w:t> </w:t>
      </w:r>
      <w:r w:rsidRPr="00690F06">
        <w:rPr>
          <w:rFonts w:ascii="Arial" w:hAnsi="Arial" w:cs="Arial"/>
        </w:rPr>
        <w:t xml:space="preserve">days before a person starts to manufacture, import or process these dyes for any significant new use. Notification would enable the </w:t>
      </w:r>
      <w:r w:rsidR="005D7F60" w:rsidRPr="00690F06">
        <w:rPr>
          <w:rFonts w:ascii="Arial" w:hAnsi="Arial" w:cs="Arial"/>
        </w:rPr>
        <w:t>US</w:t>
      </w:r>
      <w:r w:rsidR="005D7F60">
        <w:rPr>
          <w:rFonts w:ascii="Arial" w:hAnsi="Arial" w:cs="Arial"/>
        </w:rPr>
        <w:t> </w:t>
      </w:r>
      <w:r w:rsidRPr="00690F06">
        <w:rPr>
          <w:rFonts w:ascii="Arial" w:hAnsi="Arial" w:cs="Arial"/>
        </w:rPr>
        <w:t>EPA to evaluate the significant new use of these chemical substances and, if necessary, appropriately address risks to human health or the environment by limiting or prohibiting those uses before they occur.</w:t>
      </w:r>
      <w:r w:rsidRPr="00690F06">
        <w:rPr>
          <w:rStyle w:val="FootnoteReference"/>
          <w:rFonts w:ascii="Arial" w:hAnsi="Arial" w:cs="Arial"/>
        </w:rPr>
        <w:footnoteReference w:id="108"/>
      </w:r>
      <w:r w:rsidRPr="00690F06">
        <w:rPr>
          <w:rFonts w:ascii="Arial" w:hAnsi="Arial" w:cs="Arial"/>
        </w:rPr>
        <w:t xml:space="preserve"> There are currently exemptions to notify a significant new use for benzidine-based dyes in certain articles, however a proposal to </w:t>
      </w:r>
      <w:r w:rsidRPr="00690F06">
        <w:rPr>
          <w:rFonts w:ascii="Arial" w:hAnsi="Arial" w:cs="Arial"/>
        </w:rPr>
        <w:lastRenderedPageBreak/>
        <w:t>remove this exemption is currently being considered. Access to benzidine-based dyes for home use is not permitted.</w:t>
      </w:r>
      <w:r w:rsidRPr="00690F06">
        <w:rPr>
          <w:rStyle w:val="FootnoteReference"/>
          <w:rFonts w:ascii="Arial" w:hAnsi="Arial" w:cs="Arial"/>
        </w:rPr>
        <w:footnoteReference w:id="109"/>
      </w:r>
    </w:p>
    <w:p w:rsidR="00F50C37" w:rsidRPr="00690F06" w:rsidRDefault="00F50C37" w:rsidP="00F50C37">
      <w:pPr>
        <w:spacing w:after="240"/>
        <w:rPr>
          <w:rFonts w:ascii="Arial" w:hAnsi="Arial" w:cs="Arial"/>
        </w:rPr>
      </w:pPr>
      <w:r w:rsidRPr="00690F06">
        <w:rPr>
          <w:rFonts w:ascii="Arial" w:hAnsi="Arial" w:cs="Arial"/>
        </w:rPr>
        <w:t>Canada has undertaken a human health and environmental risk assessment of a number of benzidine-based dyes. However regulations restricting supply of textile articles dyed with benzidine-based dyes have not been introduced on the basis that risk to the general population of Canada from exposure to these substances is not expected.</w:t>
      </w:r>
      <w:r w:rsidRPr="00690F06">
        <w:rPr>
          <w:rStyle w:val="FootnoteReference"/>
          <w:rFonts w:ascii="Arial" w:hAnsi="Arial" w:cs="Arial"/>
        </w:rPr>
        <w:footnoteReference w:id="110"/>
      </w:r>
    </w:p>
    <w:p w:rsidR="00F50C37" w:rsidRPr="00690F06" w:rsidRDefault="00F50C37" w:rsidP="00F50C37">
      <w:pPr>
        <w:spacing w:before="240" w:after="240"/>
        <w:rPr>
          <w:rFonts w:ascii="Arial" w:hAnsi="Arial" w:cs="Arial"/>
        </w:rPr>
      </w:pPr>
      <w:r w:rsidRPr="00690F06">
        <w:rPr>
          <w:rFonts w:ascii="Arial" w:hAnsi="Arial" w:cs="Arial"/>
        </w:rPr>
        <w:t>In a number of international jurisdictions benzidine-based dyes are banned for use in cosmetics.</w:t>
      </w:r>
    </w:p>
    <w:p w:rsidR="00D265CA" w:rsidRPr="00B7209D" w:rsidRDefault="00D265CA" w:rsidP="00F479B8">
      <w:pPr>
        <w:pStyle w:val="Heading1"/>
        <w:spacing w:before="120"/>
        <w:ind w:left="2835" w:hanging="2835"/>
        <w:rPr>
          <w:rFonts w:ascii="Lucida Fax" w:hAnsi="Lucida Fax"/>
        </w:rPr>
      </w:pPr>
      <w:r>
        <w:br w:type="page"/>
      </w:r>
      <w:bookmarkStart w:id="113" w:name="_Toc412196654"/>
      <w:r w:rsidR="00E91CD0" w:rsidRPr="00B7209D">
        <w:rPr>
          <w:rFonts w:ascii="Lucida Fax" w:hAnsi="Lucida Fax"/>
        </w:rPr>
        <w:lastRenderedPageBreak/>
        <w:t>Attachment </w:t>
      </w:r>
      <w:r w:rsidR="00D65CE9" w:rsidRPr="00B7209D">
        <w:rPr>
          <w:rFonts w:ascii="Lucida Fax" w:hAnsi="Lucida Fax"/>
        </w:rPr>
        <w:t>8</w:t>
      </w:r>
      <w:r w:rsidR="0078383B" w:rsidRPr="00B7209D">
        <w:rPr>
          <w:rFonts w:ascii="Lucida Fax" w:hAnsi="Lucida Fax"/>
        </w:rPr>
        <w:t>:</w:t>
      </w:r>
      <w:r w:rsidR="0078383B" w:rsidRPr="00B7209D">
        <w:rPr>
          <w:rFonts w:ascii="Lucida Fax" w:hAnsi="Lucida Fax"/>
        </w:rPr>
        <w:tab/>
      </w:r>
      <w:r w:rsidR="00057092">
        <w:rPr>
          <w:rFonts w:ascii="Lucida Fax" w:hAnsi="Lucida Fax"/>
        </w:rPr>
        <w:t>Determination of the e</w:t>
      </w:r>
      <w:r w:rsidR="00D65CE9" w:rsidRPr="00B7209D">
        <w:rPr>
          <w:rFonts w:ascii="Lucida Fax" w:hAnsi="Lucida Fax"/>
        </w:rPr>
        <w:t>stimated additional costs</w:t>
      </w:r>
      <w:r w:rsidR="00057092">
        <w:rPr>
          <w:rFonts w:ascii="Lucida Fax" w:hAnsi="Lucida Fax"/>
        </w:rPr>
        <w:t xml:space="preserve"> to business of option 3</w:t>
      </w:r>
      <w:bookmarkEnd w:id="113"/>
    </w:p>
    <w:p w:rsidR="0078383B" w:rsidRDefault="0078383B" w:rsidP="0078383B">
      <w:pPr>
        <w:spacing w:after="240"/>
        <w:rPr>
          <w:rFonts w:ascii="Arial" w:hAnsi="Arial" w:cs="Arial"/>
        </w:rPr>
      </w:pPr>
    </w:p>
    <w:p w:rsidR="003C7A7D" w:rsidRDefault="003C7A7D" w:rsidP="003C7A7D">
      <w:pPr>
        <w:spacing w:after="240"/>
        <w:rPr>
          <w:rFonts w:ascii="Arial" w:hAnsi="Arial" w:cs="Arial"/>
        </w:rPr>
      </w:pPr>
      <w:r>
        <w:rPr>
          <w:rFonts w:ascii="Arial" w:hAnsi="Arial" w:cs="Arial"/>
        </w:rPr>
        <w:t xml:space="preserve">The purpose of this attachment is to estimate the cost to business of conducting testing for carcinogenic aromatic amines in direct and prolonged contact articles. Costs are comprised of substantive compliance costs (product testing), administrative costs (‘back office’ administration to ensure compliance with regulation) and the cost to business of delay in supplying product for sale due to product testing). The default duration for cost estimation is 10 years. </w:t>
      </w:r>
    </w:p>
    <w:p w:rsidR="003C7A7D" w:rsidRPr="00D330EE" w:rsidRDefault="003C7A7D" w:rsidP="00D330EE">
      <w:pPr>
        <w:rPr>
          <w:rFonts w:ascii="Arial" w:hAnsi="Arial" w:cs="Arial"/>
          <w:b/>
          <w:sz w:val="28"/>
          <w:szCs w:val="28"/>
        </w:rPr>
      </w:pPr>
      <w:r w:rsidRPr="00D330EE">
        <w:rPr>
          <w:rFonts w:ascii="Arial" w:hAnsi="Arial" w:cs="Arial"/>
          <w:b/>
          <w:sz w:val="28"/>
          <w:szCs w:val="28"/>
        </w:rPr>
        <w:t>Summary of estimated additional costs under the regulatory option</w:t>
      </w:r>
    </w:p>
    <w:p w:rsidR="00D330EE" w:rsidRDefault="00D330EE" w:rsidP="003C7A7D">
      <w:pPr>
        <w:spacing w:after="240"/>
        <w:rPr>
          <w:rFonts w:ascii="Arial" w:hAnsi="Arial" w:cs="Arial"/>
        </w:rPr>
      </w:pPr>
    </w:p>
    <w:p w:rsidR="003C7A7D" w:rsidRDefault="003C7A7D" w:rsidP="003C7A7D">
      <w:pPr>
        <w:spacing w:after="240"/>
        <w:rPr>
          <w:rFonts w:ascii="Arial" w:hAnsi="Arial" w:cs="Arial"/>
        </w:rPr>
      </w:pPr>
      <w:r>
        <w:rPr>
          <w:rFonts w:ascii="Arial" w:hAnsi="Arial" w:cs="Arial"/>
        </w:rPr>
        <w:t>Table A8.1 sets out a summary of the estimated cost of regulation averaged over the default 10 year period. This summary has been calculated based on the substantive compliance costs, administration costs and delay costs described later in this attachment.</w:t>
      </w:r>
    </w:p>
    <w:p w:rsidR="003C7A7D" w:rsidRDefault="003C7A7D" w:rsidP="003C7A7D">
      <w:pPr>
        <w:spacing w:after="240"/>
        <w:rPr>
          <w:rFonts w:ascii="Arial" w:hAnsi="Arial" w:cs="Arial"/>
        </w:rPr>
      </w:pPr>
      <w:r>
        <w:rPr>
          <w:rFonts w:ascii="Arial" w:hAnsi="Arial" w:cs="Arial"/>
        </w:rPr>
        <w:t>Costs have been determined under both a ‘minimum’ and ‘maximum’ cost scenario which reflects an estimation of the minimum and maximum number of tests that businesses may need to conduct to determine if their articles meet regulation. Because the minimum and maximum costs are considered cost boundaries, the midpoint between these two values has been calculated and used to estimate costs.</w:t>
      </w:r>
      <w:r w:rsidR="00B242FC">
        <w:rPr>
          <w:rFonts w:ascii="Arial" w:hAnsi="Arial" w:cs="Arial"/>
        </w:rPr>
        <w:t xml:space="preserve"> The average annual</w:t>
      </w:r>
      <w:r w:rsidR="00EA1965">
        <w:rPr>
          <w:rFonts w:ascii="Arial" w:hAnsi="Arial" w:cs="Arial"/>
        </w:rPr>
        <w:t xml:space="preserve"> compliance cost under the regulatory option has been estimated to be $18 million per annum (i.e. the ‘midpoint’ figure in Table A8.1).</w:t>
      </w:r>
    </w:p>
    <w:p w:rsidR="003C7A7D" w:rsidRDefault="003C7A7D" w:rsidP="003C7A7D">
      <w:pPr>
        <w:spacing w:after="240"/>
        <w:rPr>
          <w:rFonts w:ascii="Arial" w:hAnsi="Arial" w:cs="Arial"/>
        </w:rPr>
      </w:pPr>
      <w:r>
        <w:rPr>
          <w:rFonts w:ascii="Arial" w:hAnsi="Arial" w:cs="Arial"/>
        </w:rPr>
        <w:t>It is assumed that additional costs will decline over the 10 year period in response to the assumption that business will develop greater confidence in quality control processes over time. Accordingly, costs in the second and third years of regulation are expected to fall by 20 per cent each year and costs in the following seven years will fall by 10 per cent each year.</w:t>
      </w:r>
    </w:p>
    <w:p w:rsidR="003C7A7D" w:rsidRDefault="003C7A7D" w:rsidP="003C7A7D">
      <w:pPr>
        <w:spacing w:after="240"/>
        <w:rPr>
          <w:rFonts w:ascii="Arial" w:hAnsi="Arial" w:cs="Arial"/>
        </w:rPr>
      </w:pPr>
      <w:r>
        <w:rPr>
          <w:rFonts w:ascii="Arial" w:hAnsi="Arial" w:cs="Arial"/>
        </w:rPr>
        <w:t>In submissions to the ‘Call for Information’ paper, a number of businesses stated that if regulation proceeded product testing costs and administration costs would increase significantly while other businesses indicated these costs would not increase. The survey results seem to indicate that the problem is not widespread (though the survey sample size was not large). On one hand it seems reasonable to believe that increased costs under the regulatory option will be high and on the other, taking into account the current apparent high level of safe articles being supplied in Australia, costs may not be as high as expected. Therefore a scaling factor of 50 per cent has been applied to the calculated costs. There is some uncertainty around this estimate and stakeholders are again invited to provide submissions on the estimates.</w:t>
      </w:r>
    </w:p>
    <w:p w:rsidR="003C7A7D" w:rsidRDefault="003C7A7D" w:rsidP="003C7A7D">
      <w:pPr>
        <w:spacing w:after="240"/>
        <w:rPr>
          <w:rFonts w:ascii="Arial" w:hAnsi="Arial" w:cs="Arial"/>
        </w:rPr>
      </w:pPr>
      <w:proofErr w:type="gramStart"/>
      <w:r>
        <w:rPr>
          <w:rFonts w:ascii="Arial" w:hAnsi="Arial" w:cs="Arial"/>
        </w:rPr>
        <w:t>Table A8.1 sets out the estimated cost of regulation after the scaling process described above has been applied.</w:t>
      </w:r>
      <w:proofErr w:type="gramEnd"/>
    </w:p>
    <w:p w:rsidR="003C7A7D" w:rsidRDefault="003C7A7D" w:rsidP="003C7A7D">
      <w:pPr>
        <w:keepNext/>
        <w:spacing w:after="120"/>
        <w:ind w:left="1440" w:hanging="1440"/>
        <w:rPr>
          <w:rFonts w:ascii="Arial" w:hAnsi="Arial" w:cs="Arial"/>
          <w:b/>
        </w:rPr>
      </w:pPr>
      <w:r>
        <w:rPr>
          <w:rFonts w:ascii="Arial" w:hAnsi="Arial" w:cs="Arial"/>
          <w:b/>
        </w:rPr>
        <w:lastRenderedPageBreak/>
        <w:t>Table A8.1:</w:t>
      </w:r>
      <w:r>
        <w:rPr>
          <w:rFonts w:ascii="Arial" w:hAnsi="Arial" w:cs="Arial"/>
          <w:b/>
        </w:rPr>
        <w:tab/>
        <w:t>Summary of estimated additional costs due to regulation averaged over the 10-year period from 2015-16 to 2024-25, $m</w:t>
      </w:r>
    </w:p>
    <w:tbl>
      <w:tblPr>
        <w:tblStyle w:val="TableGrid"/>
        <w:tblW w:w="0" w:type="auto"/>
        <w:tblInd w:w="108"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4253"/>
        <w:gridCol w:w="2268"/>
      </w:tblGrid>
      <w:tr w:rsidR="003C7A7D" w:rsidRPr="008148DA" w:rsidTr="003C7A7D">
        <w:tc>
          <w:tcPr>
            <w:tcW w:w="4253" w:type="dxa"/>
            <w:tcBorders>
              <w:top w:val="single" w:sz="12" w:space="0" w:color="auto"/>
              <w:bottom w:val="single" w:sz="12" w:space="0" w:color="auto"/>
            </w:tcBorders>
          </w:tcPr>
          <w:p w:rsidR="003C7A7D" w:rsidRPr="00FB4694" w:rsidRDefault="003C7A7D" w:rsidP="003C7A7D">
            <w:pPr>
              <w:keepNext/>
              <w:spacing w:after="240"/>
              <w:rPr>
                <w:rFonts w:ascii="Arial" w:hAnsi="Arial" w:cs="Arial"/>
                <w:b/>
                <w:sz w:val="20"/>
                <w:szCs w:val="20"/>
              </w:rPr>
            </w:pPr>
            <w:r w:rsidRPr="00FB4694">
              <w:rPr>
                <w:rFonts w:ascii="Arial" w:hAnsi="Arial" w:cs="Arial"/>
                <w:b/>
                <w:sz w:val="20"/>
                <w:szCs w:val="20"/>
              </w:rPr>
              <w:t>Range of estimated costs</w:t>
            </w:r>
          </w:p>
        </w:tc>
        <w:tc>
          <w:tcPr>
            <w:tcW w:w="2268" w:type="dxa"/>
            <w:tcBorders>
              <w:top w:val="single" w:sz="12" w:space="0" w:color="auto"/>
              <w:bottom w:val="single" w:sz="12" w:space="0" w:color="auto"/>
            </w:tcBorders>
          </w:tcPr>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Average</w:t>
            </w:r>
          </w:p>
        </w:tc>
      </w:tr>
      <w:tr w:rsidR="003C7A7D" w:rsidRPr="008148DA" w:rsidTr="003C7A7D">
        <w:tc>
          <w:tcPr>
            <w:tcW w:w="4253" w:type="dxa"/>
            <w:tcBorders>
              <w:top w:val="single" w:sz="12" w:space="0" w:color="auto"/>
            </w:tcBorders>
          </w:tcPr>
          <w:p w:rsidR="003C7A7D" w:rsidRPr="00FB4694" w:rsidRDefault="003C7A7D" w:rsidP="003C7A7D">
            <w:pPr>
              <w:keepNext/>
              <w:spacing w:after="240"/>
              <w:rPr>
                <w:rFonts w:ascii="Arial" w:hAnsi="Arial" w:cs="Arial"/>
                <w:sz w:val="20"/>
                <w:szCs w:val="20"/>
              </w:rPr>
            </w:pPr>
            <w:r w:rsidRPr="00FB4694">
              <w:rPr>
                <w:rFonts w:ascii="Arial" w:hAnsi="Arial" w:cs="Arial"/>
                <w:sz w:val="20"/>
                <w:szCs w:val="20"/>
              </w:rPr>
              <w:t>Minimum</w:t>
            </w:r>
          </w:p>
        </w:tc>
        <w:tc>
          <w:tcPr>
            <w:tcW w:w="2268" w:type="dxa"/>
            <w:tcBorders>
              <w:top w:val="single" w:sz="12" w:space="0" w:color="auto"/>
            </w:tcBorders>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8</w:t>
            </w:r>
          </w:p>
        </w:tc>
      </w:tr>
      <w:tr w:rsidR="003C7A7D" w:rsidRPr="008148DA" w:rsidTr="003C7A7D">
        <w:tc>
          <w:tcPr>
            <w:tcW w:w="4253" w:type="dxa"/>
          </w:tcPr>
          <w:p w:rsidR="003C7A7D" w:rsidRPr="00FB4694" w:rsidRDefault="003C7A7D" w:rsidP="003C7A7D">
            <w:pPr>
              <w:keepNext/>
              <w:spacing w:after="240"/>
              <w:rPr>
                <w:rFonts w:ascii="Arial" w:hAnsi="Arial" w:cs="Arial"/>
                <w:sz w:val="20"/>
                <w:szCs w:val="20"/>
              </w:rPr>
            </w:pPr>
            <w:r w:rsidRPr="00FB4694">
              <w:rPr>
                <w:rFonts w:ascii="Arial" w:hAnsi="Arial" w:cs="Arial"/>
                <w:sz w:val="20"/>
                <w:szCs w:val="20"/>
              </w:rPr>
              <w:t>Maximum</w:t>
            </w:r>
          </w:p>
        </w:tc>
        <w:tc>
          <w:tcPr>
            <w:tcW w:w="2268" w:type="dxa"/>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29</w:t>
            </w:r>
          </w:p>
        </w:tc>
      </w:tr>
      <w:tr w:rsidR="003C7A7D" w:rsidRPr="008148DA" w:rsidTr="003C7A7D">
        <w:tc>
          <w:tcPr>
            <w:tcW w:w="4253" w:type="dxa"/>
          </w:tcPr>
          <w:p w:rsidR="003C7A7D" w:rsidRPr="00FB4694" w:rsidRDefault="003C7A7D" w:rsidP="003C7A7D">
            <w:pPr>
              <w:spacing w:after="240"/>
              <w:rPr>
                <w:rFonts w:ascii="Arial" w:hAnsi="Arial" w:cs="Arial"/>
                <w:sz w:val="20"/>
                <w:szCs w:val="20"/>
              </w:rPr>
            </w:pPr>
            <w:r w:rsidRPr="00FB4694">
              <w:rPr>
                <w:rFonts w:ascii="Arial" w:hAnsi="Arial" w:cs="Arial"/>
                <w:sz w:val="20"/>
                <w:szCs w:val="20"/>
              </w:rPr>
              <w:t>Midpoint</w:t>
            </w:r>
          </w:p>
        </w:tc>
        <w:tc>
          <w:tcPr>
            <w:tcW w:w="2268" w:type="dxa"/>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18</w:t>
            </w:r>
          </w:p>
        </w:tc>
      </w:tr>
    </w:tbl>
    <w:p w:rsidR="003C7A7D" w:rsidRPr="00FB4694" w:rsidRDefault="003C7A7D" w:rsidP="003C7A7D">
      <w:pPr>
        <w:spacing w:after="240"/>
        <w:rPr>
          <w:rFonts w:ascii="Arial" w:hAnsi="Arial" w:cs="Arial"/>
          <w:b/>
        </w:rPr>
      </w:pPr>
    </w:p>
    <w:p w:rsidR="003C7A7D" w:rsidRDefault="003C7A7D" w:rsidP="003C7A7D">
      <w:pPr>
        <w:spacing w:after="240"/>
        <w:rPr>
          <w:rFonts w:ascii="Arial" w:hAnsi="Arial" w:cs="Arial"/>
        </w:rPr>
      </w:pPr>
      <w:r>
        <w:rPr>
          <w:rFonts w:ascii="Arial" w:hAnsi="Arial" w:cs="Arial"/>
        </w:rPr>
        <w:t>The average additional cost per business over the 10 year period is set out in Table A8.2. Estimates are calculated based on the total additional costs set out in Table A8.1 and the total number of affected businesses (details of which are provided below).</w:t>
      </w:r>
    </w:p>
    <w:p w:rsidR="003C7A7D" w:rsidRPr="00FB4694" w:rsidRDefault="003C7A7D" w:rsidP="003C7A7D">
      <w:pPr>
        <w:keepNext/>
        <w:spacing w:after="120"/>
        <w:ind w:left="1440" w:hanging="1440"/>
        <w:rPr>
          <w:rFonts w:ascii="Arial" w:hAnsi="Arial" w:cs="Arial"/>
          <w:b/>
        </w:rPr>
      </w:pPr>
      <w:r w:rsidRPr="00FB4694">
        <w:rPr>
          <w:rFonts w:ascii="Arial" w:hAnsi="Arial" w:cs="Arial"/>
          <w:b/>
        </w:rPr>
        <w:t>Table A8.</w:t>
      </w:r>
      <w:r w:rsidRPr="00057092">
        <w:rPr>
          <w:rFonts w:ascii="Arial" w:hAnsi="Arial" w:cs="Arial"/>
          <w:b/>
        </w:rPr>
        <w:t>2</w:t>
      </w:r>
      <w:r w:rsidRPr="00FB4694">
        <w:rPr>
          <w:rFonts w:ascii="Arial" w:hAnsi="Arial" w:cs="Arial"/>
          <w:b/>
        </w:rPr>
        <w:t>:</w:t>
      </w:r>
      <w:r w:rsidRPr="00FB4694">
        <w:rPr>
          <w:rFonts w:ascii="Arial" w:hAnsi="Arial" w:cs="Arial"/>
          <w:b/>
        </w:rPr>
        <w:tab/>
        <w:t>Additional cost per business</w:t>
      </w:r>
      <w:r>
        <w:rPr>
          <w:rFonts w:ascii="Arial" w:hAnsi="Arial" w:cs="Arial"/>
          <w:b/>
        </w:rPr>
        <w:t xml:space="preserve"> (regardless of size)</w:t>
      </w:r>
      <w:r w:rsidRPr="00FB4694">
        <w:rPr>
          <w:rFonts w:ascii="Arial" w:hAnsi="Arial" w:cs="Arial"/>
          <w:b/>
        </w:rPr>
        <w:t xml:space="preserve"> averaged over </w:t>
      </w:r>
      <w:r w:rsidRPr="00057092">
        <w:rPr>
          <w:rFonts w:ascii="Arial" w:hAnsi="Arial" w:cs="Arial"/>
          <w:b/>
        </w:rPr>
        <w:t>the 10-year period from 2015-16 to 2024-25</w:t>
      </w:r>
      <w:r>
        <w:rPr>
          <w:rFonts w:ascii="Arial" w:hAnsi="Arial" w:cs="Arial"/>
          <w:b/>
        </w:rPr>
        <w:t>, $</w:t>
      </w:r>
    </w:p>
    <w:tbl>
      <w:tblPr>
        <w:tblStyle w:val="TableGrid"/>
        <w:tblW w:w="0" w:type="auto"/>
        <w:tblInd w:w="108"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4253"/>
        <w:gridCol w:w="2268"/>
      </w:tblGrid>
      <w:tr w:rsidR="003C7A7D" w:rsidRPr="008148DA" w:rsidTr="003C7A7D">
        <w:tc>
          <w:tcPr>
            <w:tcW w:w="4253" w:type="dxa"/>
            <w:tcBorders>
              <w:top w:val="single" w:sz="12" w:space="0" w:color="auto"/>
              <w:bottom w:val="single" w:sz="12" w:space="0" w:color="auto"/>
            </w:tcBorders>
          </w:tcPr>
          <w:p w:rsidR="003C7A7D" w:rsidRPr="00FB4694" w:rsidRDefault="003C7A7D" w:rsidP="003C7A7D">
            <w:pPr>
              <w:keepNext/>
              <w:spacing w:after="240"/>
              <w:rPr>
                <w:rFonts w:ascii="Arial" w:hAnsi="Arial" w:cs="Arial"/>
                <w:b/>
                <w:sz w:val="20"/>
                <w:szCs w:val="20"/>
              </w:rPr>
            </w:pPr>
            <w:r w:rsidRPr="00FB4694">
              <w:rPr>
                <w:rFonts w:ascii="Arial" w:hAnsi="Arial" w:cs="Arial"/>
                <w:b/>
                <w:sz w:val="20"/>
                <w:szCs w:val="20"/>
              </w:rPr>
              <w:t>Cost per business</w:t>
            </w:r>
          </w:p>
        </w:tc>
        <w:tc>
          <w:tcPr>
            <w:tcW w:w="2268" w:type="dxa"/>
            <w:tcBorders>
              <w:top w:val="single" w:sz="12" w:space="0" w:color="auto"/>
              <w:bottom w:val="single" w:sz="12" w:space="0" w:color="auto"/>
            </w:tcBorders>
          </w:tcPr>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Average</w:t>
            </w:r>
          </w:p>
        </w:tc>
      </w:tr>
      <w:tr w:rsidR="003C7A7D" w:rsidRPr="008148DA" w:rsidTr="003C7A7D">
        <w:tc>
          <w:tcPr>
            <w:tcW w:w="4253" w:type="dxa"/>
            <w:tcBorders>
              <w:top w:val="single" w:sz="12" w:space="0" w:color="auto"/>
            </w:tcBorders>
          </w:tcPr>
          <w:p w:rsidR="003C7A7D" w:rsidRPr="00FB4694" w:rsidRDefault="003C7A7D" w:rsidP="003C7A7D">
            <w:pPr>
              <w:keepNext/>
              <w:spacing w:after="240"/>
              <w:rPr>
                <w:rFonts w:ascii="Arial" w:hAnsi="Arial" w:cs="Arial"/>
                <w:sz w:val="20"/>
                <w:szCs w:val="20"/>
              </w:rPr>
            </w:pPr>
            <w:r w:rsidRPr="00FB4694">
              <w:rPr>
                <w:rFonts w:ascii="Arial" w:hAnsi="Arial" w:cs="Arial"/>
                <w:sz w:val="20"/>
                <w:szCs w:val="20"/>
              </w:rPr>
              <w:t>Minimum</w:t>
            </w:r>
          </w:p>
        </w:tc>
        <w:tc>
          <w:tcPr>
            <w:tcW w:w="2268" w:type="dxa"/>
            <w:tcBorders>
              <w:top w:val="single" w:sz="12" w:space="0" w:color="auto"/>
            </w:tcBorders>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628</w:t>
            </w:r>
          </w:p>
        </w:tc>
      </w:tr>
      <w:tr w:rsidR="003C7A7D" w:rsidRPr="008148DA" w:rsidTr="003C7A7D">
        <w:tc>
          <w:tcPr>
            <w:tcW w:w="4253" w:type="dxa"/>
          </w:tcPr>
          <w:p w:rsidR="003C7A7D" w:rsidRPr="00FB4694" w:rsidRDefault="003C7A7D" w:rsidP="003C7A7D">
            <w:pPr>
              <w:keepNext/>
              <w:spacing w:after="240"/>
              <w:rPr>
                <w:rFonts w:ascii="Arial" w:hAnsi="Arial" w:cs="Arial"/>
                <w:sz w:val="20"/>
                <w:szCs w:val="20"/>
              </w:rPr>
            </w:pPr>
            <w:r w:rsidRPr="00FB4694">
              <w:rPr>
                <w:rFonts w:ascii="Arial" w:hAnsi="Arial" w:cs="Arial"/>
                <w:sz w:val="20"/>
                <w:szCs w:val="20"/>
              </w:rPr>
              <w:t>Maximum</w:t>
            </w:r>
          </w:p>
        </w:tc>
        <w:tc>
          <w:tcPr>
            <w:tcW w:w="2268" w:type="dxa"/>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2</w:t>
            </w:r>
            <w:r>
              <w:rPr>
                <w:rFonts w:ascii="Arial" w:hAnsi="Arial" w:cs="Arial"/>
                <w:sz w:val="20"/>
                <w:szCs w:val="20"/>
              </w:rPr>
              <w:t> </w:t>
            </w:r>
            <w:r w:rsidRPr="00FB4694">
              <w:rPr>
                <w:rFonts w:ascii="Arial" w:hAnsi="Arial" w:cs="Arial"/>
                <w:sz w:val="20"/>
                <w:szCs w:val="20"/>
              </w:rPr>
              <w:t>228</w:t>
            </w:r>
          </w:p>
        </w:tc>
      </w:tr>
      <w:tr w:rsidR="003C7A7D" w:rsidRPr="008148DA" w:rsidTr="003C7A7D">
        <w:tc>
          <w:tcPr>
            <w:tcW w:w="4253" w:type="dxa"/>
          </w:tcPr>
          <w:p w:rsidR="003C7A7D" w:rsidRPr="00FB4694" w:rsidRDefault="003C7A7D" w:rsidP="003C7A7D">
            <w:pPr>
              <w:spacing w:after="240"/>
              <w:rPr>
                <w:rFonts w:ascii="Arial" w:hAnsi="Arial" w:cs="Arial"/>
                <w:sz w:val="20"/>
                <w:szCs w:val="20"/>
              </w:rPr>
            </w:pPr>
            <w:r w:rsidRPr="00FB4694">
              <w:rPr>
                <w:rFonts w:ascii="Arial" w:hAnsi="Arial" w:cs="Arial"/>
                <w:sz w:val="20"/>
                <w:szCs w:val="20"/>
              </w:rPr>
              <w:t>Midpoint</w:t>
            </w:r>
          </w:p>
        </w:tc>
        <w:tc>
          <w:tcPr>
            <w:tcW w:w="2268" w:type="dxa"/>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1</w:t>
            </w:r>
            <w:r>
              <w:rPr>
                <w:rFonts w:ascii="Arial" w:hAnsi="Arial" w:cs="Arial"/>
                <w:sz w:val="20"/>
                <w:szCs w:val="20"/>
              </w:rPr>
              <w:t> </w:t>
            </w:r>
            <w:r w:rsidRPr="00FB4694">
              <w:rPr>
                <w:rFonts w:ascii="Arial" w:hAnsi="Arial" w:cs="Arial"/>
                <w:sz w:val="20"/>
                <w:szCs w:val="20"/>
              </w:rPr>
              <w:t>428</w:t>
            </w:r>
          </w:p>
        </w:tc>
      </w:tr>
    </w:tbl>
    <w:p w:rsidR="003C7A7D" w:rsidRDefault="003C7A7D" w:rsidP="003C7A7D">
      <w:pPr>
        <w:spacing w:after="240"/>
        <w:rPr>
          <w:rFonts w:ascii="Arial" w:hAnsi="Arial" w:cs="Arial"/>
        </w:rPr>
      </w:pPr>
    </w:p>
    <w:p w:rsidR="003C7A7D" w:rsidRDefault="003C7A7D" w:rsidP="003C7A7D">
      <w:pPr>
        <w:spacing w:after="240"/>
        <w:rPr>
          <w:rFonts w:ascii="Arial" w:hAnsi="Arial" w:cs="Arial"/>
        </w:rPr>
      </w:pPr>
      <w:r>
        <w:rPr>
          <w:rFonts w:ascii="Arial" w:hAnsi="Arial" w:cs="Arial"/>
        </w:rPr>
        <w:t xml:space="preserve">The percentage of average additional cost (in 2015-16) to estimated industry revenue for 2015-16 is set out in Table A8.3. Estimates are based on the figures used to derive Table A8.1 and estimated industry revenue figures for the 2015-16 year provided by </w:t>
      </w:r>
      <w:proofErr w:type="spellStart"/>
      <w:r>
        <w:rPr>
          <w:rFonts w:ascii="Arial" w:hAnsi="Arial" w:cs="Arial"/>
        </w:rPr>
        <w:t>IBISWorld</w:t>
      </w:r>
      <w:proofErr w:type="spellEnd"/>
      <w:r>
        <w:rPr>
          <w:rFonts w:ascii="Arial" w:hAnsi="Arial" w:cs="Arial"/>
        </w:rPr>
        <w:t>.</w:t>
      </w:r>
      <w:r>
        <w:rPr>
          <w:rStyle w:val="FootnoteReference"/>
          <w:rFonts w:ascii="Arial" w:hAnsi="Arial" w:cs="Arial"/>
        </w:rPr>
        <w:footnoteReference w:id="111"/>
      </w:r>
    </w:p>
    <w:p w:rsidR="003C7A7D" w:rsidRPr="00FB4694" w:rsidRDefault="003C7A7D" w:rsidP="003C7A7D">
      <w:pPr>
        <w:keepNext/>
        <w:spacing w:after="120"/>
        <w:ind w:left="1440" w:hanging="1440"/>
        <w:rPr>
          <w:rFonts w:ascii="Arial" w:hAnsi="Arial" w:cs="Arial"/>
          <w:b/>
        </w:rPr>
      </w:pPr>
      <w:r>
        <w:rPr>
          <w:rFonts w:ascii="Arial" w:hAnsi="Arial" w:cs="Arial"/>
          <w:b/>
        </w:rPr>
        <w:t>Table A8.3:</w:t>
      </w:r>
      <w:r>
        <w:rPr>
          <w:rFonts w:ascii="Arial" w:hAnsi="Arial" w:cs="Arial"/>
          <w:b/>
        </w:rPr>
        <w:tab/>
        <w:t>Percentage</w:t>
      </w:r>
      <w:r w:rsidRPr="00FB4694">
        <w:rPr>
          <w:rFonts w:ascii="Arial" w:hAnsi="Arial" w:cs="Arial"/>
          <w:b/>
        </w:rPr>
        <w:t xml:space="preserve"> of additional cost</w:t>
      </w:r>
      <w:r>
        <w:rPr>
          <w:rFonts w:ascii="Arial" w:hAnsi="Arial" w:cs="Arial"/>
          <w:b/>
        </w:rPr>
        <w:t xml:space="preserve"> (2015-16)</w:t>
      </w:r>
      <w:r w:rsidRPr="00FB4694">
        <w:rPr>
          <w:rFonts w:ascii="Arial" w:hAnsi="Arial" w:cs="Arial"/>
          <w:b/>
        </w:rPr>
        <w:t xml:space="preserve"> to </w:t>
      </w:r>
      <w:r>
        <w:rPr>
          <w:rFonts w:ascii="Arial" w:hAnsi="Arial" w:cs="Arial"/>
          <w:b/>
        </w:rPr>
        <w:t xml:space="preserve">estimated industry </w:t>
      </w:r>
      <w:r w:rsidRPr="00FB4694">
        <w:rPr>
          <w:rFonts w:ascii="Arial" w:hAnsi="Arial" w:cs="Arial"/>
          <w:b/>
        </w:rPr>
        <w:t xml:space="preserve">revenue </w:t>
      </w:r>
      <w:r>
        <w:rPr>
          <w:rFonts w:ascii="Arial" w:hAnsi="Arial" w:cs="Arial"/>
          <w:b/>
        </w:rPr>
        <w:t>(2015-16), %</w:t>
      </w:r>
    </w:p>
    <w:tbl>
      <w:tblPr>
        <w:tblStyle w:val="TableGrid"/>
        <w:tblW w:w="0" w:type="auto"/>
        <w:tblInd w:w="108"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4253"/>
        <w:gridCol w:w="2268"/>
      </w:tblGrid>
      <w:tr w:rsidR="003C7A7D" w:rsidRPr="008148DA" w:rsidTr="003C7A7D">
        <w:tc>
          <w:tcPr>
            <w:tcW w:w="4253" w:type="dxa"/>
            <w:tcBorders>
              <w:top w:val="single" w:sz="12" w:space="0" w:color="auto"/>
              <w:bottom w:val="single" w:sz="12" w:space="0" w:color="auto"/>
            </w:tcBorders>
          </w:tcPr>
          <w:p w:rsidR="003C7A7D" w:rsidRPr="00FB4694" w:rsidRDefault="003C7A7D" w:rsidP="003C7A7D">
            <w:pPr>
              <w:keepNext/>
              <w:spacing w:after="240"/>
              <w:rPr>
                <w:rFonts w:ascii="Arial" w:hAnsi="Arial" w:cs="Arial"/>
                <w:b/>
                <w:sz w:val="20"/>
                <w:szCs w:val="20"/>
              </w:rPr>
            </w:pPr>
            <w:r>
              <w:rPr>
                <w:rFonts w:ascii="Arial" w:hAnsi="Arial" w:cs="Arial"/>
                <w:b/>
                <w:sz w:val="20"/>
                <w:szCs w:val="20"/>
              </w:rPr>
              <w:t>Percentage</w:t>
            </w:r>
            <w:r w:rsidRPr="00FB4694">
              <w:rPr>
                <w:rFonts w:ascii="Arial" w:hAnsi="Arial" w:cs="Arial"/>
                <w:b/>
                <w:sz w:val="20"/>
                <w:szCs w:val="20"/>
              </w:rPr>
              <w:t xml:space="preserve"> of additional cost to revenue</w:t>
            </w:r>
          </w:p>
        </w:tc>
        <w:tc>
          <w:tcPr>
            <w:tcW w:w="2268" w:type="dxa"/>
            <w:tcBorders>
              <w:top w:val="single" w:sz="12" w:space="0" w:color="auto"/>
              <w:bottom w:val="single" w:sz="12" w:space="0" w:color="auto"/>
            </w:tcBorders>
          </w:tcPr>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Average</w:t>
            </w:r>
            <w:r>
              <w:rPr>
                <w:rFonts w:ascii="Arial" w:hAnsi="Arial" w:cs="Arial"/>
                <w:b/>
                <w:sz w:val="20"/>
                <w:szCs w:val="20"/>
              </w:rPr>
              <w:t xml:space="preserve"> (%)</w:t>
            </w:r>
          </w:p>
        </w:tc>
      </w:tr>
      <w:tr w:rsidR="003C7A7D" w:rsidRPr="008148DA" w:rsidTr="003C7A7D">
        <w:tc>
          <w:tcPr>
            <w:tcW w:w="4253" w:type="dxa"/>
            <w:tcBorders>
              <w:top w:val="single" w:sz="12" w:space="0" w:color="auto"/>
            </w:tcBorders>
          </w:tcPr>
          <w:p w:rsidR="003C7A7D" w:rsidRPr="00FB4694" w:rsidRDefault="003C7A7D" w:rsidP="003C7A7D">
            <w:pPr>
              <w:keepNext/>
              <w:spacing w:after="240"/>
              <w:rPr>
                <w:rFonts w:ascii="Arial" w:hAnsi="Arial" w:cs="Arial"/>
                <w:sz w:val="20"/>
                <w:szCs w:val="20"/>
              </w:rPr>
            </w:pPr>
            <w:r w:rsidRPr="00FB4694">
              <w:rPr>
                <w:rFonts w:ascii="Arial" w:hAnsi="Arial" w:cs="Arial"/>
                <w:sz w:val="20"/>
                <w:szCs w:val="20"/>
              </w:rPr>
              <w:t>Minimum</w:t>
            </w:r>
          </w:p>
        </w:tc>
        <w:tc>
          <w:tcPr>
            <w:tcW w:w="2268" w:type="dxa"/>
            <w:tcBorders>
              <w:top w:val="single" w:sz="12" w:space="0" w:color="auto"/>
            </w:tcBorders>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0.</w:t>
            </w:r>
            <w:r>
              <w:rPr>
                <w:rFonts w:ascii="Arial" w:hAnsi="Arial" w:cs="Arial"/>
                <w:sz w:val="20"/>
                <w:szCs w:val="20"/>
              </w:rPr>
              <w:t>1</w:t>
            </w:r>
          </w:p>
        </w:tc>
      </w:tr>
      <w:tr w:rsidR="003C7A7D" w:rsidRPr="008148DA" w:rsidTr="003C7A7D">
        <w:tc>
          <w:tcPr>
            <w:tcW w:w="4253" w:type="dxa"/>
          </w:tcPr>
          <w:p w:rsidR="003C7A7D" w:rsidRPr="00FB4694" w:rsidRDefault="003C7A7D" w:rsidP="003C7A7D">
            <w:pPr>
              <w:keepNext/>
              <w:spacing w:after="240"/>
              <w:rPr>
                <w:rFonts w:ascii="Arial" w:hAnsi="Arial" w:cs="Arial"/>
                <w:sz w:val="20"/>
                <w:szCs w:val="20"/>
              </w:rPr>
            </w:pPr>
            <w:r w:rsidRPr="00FB4694">
              <w:rPr>
                <w:rFonts w:ascii="Arial" w:hAnsi="Arial" w:cs="Arial"/>
                <w:sz w:val="20"/>
                <w:szCs w:val="20"/>
              </w:rPr>
              <w:t>Maximum</w:t>
            </w:r>
          </w:p>
        </w:tc>
        <w:tc>
          <w:tcPr>
            <w:tcW w:w="2268" w:type="dxa"/>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0.</w:t>
            </w:r>
            <w:r>
              <w:rPr>
                <w:rFonts w:ascii="Arial" w:hAnsi="Arial" w:cs="Arial"/>
                <w:sz w:val="20"/>
                <w:szCs w:val="20"/>
              </w:rPr>
              <w:t>3</w:t>
            </w:r>
          </w:p>
        </w:tc>
      </w:tr>
      <w:tr w:rsidR="003C7A7D" w:rsidRPr="008148DA" w:rsidTr="003C7A7D">
        <w:tc>
          <w:tcPr>
            <w:tcW w:w="4253" w:type="dxa"/>
          </w:tcPr>
          <w:p w:rsidR="003C7A7D" w:rsidRPr="00FB4694" w:rsidRDefault="003C7A7D" w:rsidP="003C7A7D">
            <w:pPr>
              <w:spacing w:after="240"/>
              <w:rPr>
                <w:rFonts w:ascii="Arial" w:hAnsi="Arial" w:cs="Arial"/>
                <w:sz w:val="20"/>
                <w:szCs w:val="20"/>
              </w:rPr>
            </w:pPr>
            <w:r w:rsidRPr="00FB4694">
              <w:rPr>
                <w:rFonts w:ascii="Arial" w:hAnsi="Arial" w:cs="Arial"/>
                <w:sz w:val="20"/>
                <w:szCs w:val="20"/>
              </w:rPr>
              <w:t>Midpoint</w:t>
            </w:r>
          </w:p>
        </w:tc>
        <w:tc>
          <w:tcPr>
            <w:tcW w:w="2268" w:type="dxa"/>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0.</w:t>
            </w:r>
            <w:r>
              <w:rPr>
                <w:rFonts w:ascii="Arial" w:hAnsi="Arial" w:cs="Arial"/>
                <w:sz w:val="20"/>
                <w:szCs w:val="20"/>
              </w:rPr>
              <w:t>2</w:t>
            </w:r>
          </w:p>
        </w:tc>
      </w:tr>
    </w:tbl>
    <w:p w:rsidR="003C7A7D" w:rsidRDefault="003C7A7D" w:rsidP="003C7A7D">
      <w:pPr>
        <w:spacing w:after="240"/>
        <w:rPr>
          <w:rFonts w:ascii="Arial" w:hAnsi="Arial" w:cs="Arial"/>
        </w:rPr>
      </w:pPr>
    </w:p>
    <w:p w:rsidR="003C7A7D" w:rsidRDefault="003C7A7D" w:rsidP="003C7A7D">
      <w:pPr>
        <w:spacing w:after="240"/>
        <w:rPr>
          <w:rFonts w:ascii="Arial" w:hAnsi="Arial" w:cs="Arial"/>
        </w:rPr>
      </w:pPr>
      <w:r>
        <w:rPr>
          <w:rFonts w:ascii="Arial" w:hAnsi="Arial" w:cs="Arial"/>
        </w:rPr>
        <w:t>The estimated additional cost for each direct and prolonged contact article due to the additional costs arising from regulation (assuming suppliers pass on all additional costs) is estimated to be 6 cents per article in the first year of regulation (i.e. 2015-16). This estimate is based on:</w:t>
      </w:r>
    </w:p>
    <w:p w:rsidR="003C7A7D" w:rsidRDefault="003C7A7D" w:rsidP="003C7A7D">
      <w:pPr>
        <w:numPr>
          <w:ilvl w:val="0"/>
          <w:numId w:val="30"/>
        </w:numPr>
        <w:spacing w:before="60" w:after="60"/>
        <w:ind w:left="357" w:hanging="357"/>
        <w:rPr>
          <w:rFonts w:ascii="Arial" w:hAnsi="Arial" w:cs="Arial"/>
        </w:rPr>
      </w:pPr>
      <w:r>
        <w:rPr>
          <w:rFonts w:ascii="Arial" w:hAnsi="Arial" w:cs="Arial"/>
        </w:rPr>
        <w:lastRenderedPageBreak/>
        <w:t>a population of 24.3 million people at June 2016, increasing at a rate of 1.7 per cent each year</w:t>
      </w:r>
      <w:r w:rsidRPr="00D330EE">
        <w:rPr>
          <w:vertAlign w:val="superscript"/>
        </w:rPr>
        <w:footnoteReference w:id="112"/>
      </w:r>
    </w:p>
    <w:p w:rsidR="003C7A7D" w:rsidRPr="001B1674" w:rsidRDefault="003C7A7D" w:rsidP="003C7A7D">
      <w:pPr>
        <w:numPr>
          <w:ilvl w:val="0"/>
          <w:numId w:val="30"/>
        </w:numPr>
        <w:spacing w:before="60" w:after="60"/>
        <w:ind w:left="357" w:hanging="357"/>
        <w:rPr>
          <w:rFonts w:ascii="Arial" w:hAnsi="Arial" w:cs="Arial"/>
        </w:rPr>
      </w:pPr>
      <w:r w:rsidRPr="001B1674">
        <w:rPr>
          <w:rFonts w:ascii="Arial" w:hAnsi="Arial" w:cs="Arial"/>
        </w:rPr>
        <w:t xml:space="preserve">regulation is estimated to impact articles used by all Australians, from birth to death and each person </w:t>
      </w:r>
      <w:r>
        <w:rPr>
          <w:rFonts w:ascii="Arial" w:hAnsi="Arial" w:cs="Arial"/>
        </w:rPr>
        <w:t xml:space="preserve">would </w:t>
      </w:r>
      <w:r w:rsidRPr="001B1674">
        <w:rPr>
          <w:rFonts w:ascii="Arial" w:hAnsi="Arial" w:cs="Arial"/>
        </w:rPr>
        <w:t>purchas</w:t>
      </w:r>
      <w:r>
        <w:rPr>
          <w:rFonts w:ascii="Arial" w:hAnsi="Arial" w:cs="Arial"/>
        </w:rPr>
        <w:t>e</w:t>
      </w:r>
      <w:r w:rsidRPr="001B1674">
        <w:rPr>
          <w:rFonts w:ascii="Arial" w:hAnsi="Arial" w:cs="Arial"/>
        </w:rPr>
        <w:t xml:space="preserve"> (or hav</w:t>
      </w:r>
      <w:r>
        <w:rPr>
          <w:rFonts w:ascii="Arial" w:hAnsi="Arial" w:cs="Arial"/>
        </w:rPr>
        <w:t>e</w:t>
      </w:r>
      <w:r w:rsidRPr="001B1674">
        <w:rPr>
          <w:rFonts w:ascii="Arial" w:hAnsi="Arial" w:cs="Arial"/>
        </w:rPr>
        <w:t xml:space="preserve"> purchased for them)</w:t>
      </w:r>
      <w:r>
        <w:rPr>
          <w:rFonts w:ascii="Arial" w:hAnsi="Arial" w:cs="Arial"/>
        </w:rPr>
        <w:t>,</w:t>
      </w:r>
      <w:r w:rsidRPr="001B1674">
        <w:rPr>
          <w:rFonts w:ascii="Arial" w:hAnsi="Arial" w:cs="Arial"/>
        </w:rPr>
        <w:t xml:space="preserve"> </w:t>
      </w:r>
      <w:r>
        <w:rPr>
          <w:rFonts w:ascii="Arial" w:hAnsi="Arial" w:cs="Arial"/>
        </w:rPr>
        <w:t>25</w:t>
      </w:r>
      <w:r w:rsidRPr="001B1674">
        <w:rPr>
          <w:rFonts w:ascii="Arial" w:hAnsi="Arial" w:cs="Arial"/>
        </w:rPr>
        <w:t xml:space="preserve"> new direct and prolonged contact articles each year</w:t>
      </w:r>
      <w:r w:rsidRPr="00D330EE">
        <w:rPr>
          <w:vertAlign w:val="superscript"/>
        </w:rPr>
        <w:footnoteReference w:id="113"/>
      </w:r>
    </w:p>
    <w:p w:rsidR="003C7A7D" w:rsidRPr="00D746D9" w:rsidRDefault="003C7A7D" w:rsidP="003C7A7D">
      <w:pPr>
        <w:numPr>
          <w:ilvl w:val="0"/>
          <w:numId w:val="30"/>
        </w:numPr>
        <w:spacing w:before="60" w:after="60"/>
        <w:ind w:left="357" w:hanging="357"/>
        <w:rPr>
          <w:rFonts w:ascii="Arial" w:hAnsi="Arial" w:cs="Arial"/>
        </w:rPr>
      </w:pPr>
      <w:proofErr w:type="gramStart"/>
      <w:r>
        <w:rPr>
          <w:rFonts w:ascii="Arial" w:hAnsi="Arial" w:cs="Arial"/>
        </w:rPr>
        <w:t>the</w:t>
      </w:r>
      <w:proofErr w:type="gramEnd"/>
      <w:r>
        <w:rPr>
          <w:rFonts w:ascii="Arial" w:hAnsi="Arial" w:cs="Arial"/>
        </w:rPr>
        <w:t xml:space="preserve"> estimated additional cost to business in the first year of regulation (i.e. 2015-16).</w:t>
      </w:r>
    </w:p>
    <w:p w:rsidR="003C7A7D" w:rsidRDefault="003C7A7D" w:rsidP="003C7A7D">
      <w:pPr>
        <w:spacing w:after="240"/>
        <w:rPr>
          <w:rFonts w:ascii="Arial" w:hAnsi="Arial" w:cs="Arial"/>
          <w:b/>
          <w:u w:val="single"/>
        </w:rPr>
      </w:pPr>
    </w:p>
    <w:p w:rsidR="003C7A7D" w:rsidRDefault="003C7A7D" w:rsidP="00D330EE">
      <w:pPr>
        <w:rPr>
          <w:rFonts w:ascii="Arial" w:hAnsi="Arial" w:cs="Arial"/>
          <w:b/>
          <w:sz w:val="28"/>
          <w:szCs w:val="28"/>
        </w:rPr>
      </w:pPr>
      <w:r w:rsidRPr="00D330EE">
        <w:rPr>
          <w:rFonts w:ascii="Arial" w:hAnsi="Arial" w:cs="Arial"/>
          <w:b/>
          <w:sz w:val="28"/>
          <w:szCs w:val="28"/>
        </w:rPr>
        <w:t>Derivation of costs</w:t>
      </w:r>
    </w:p>
    <w:p w:rsidR="00D330EE" w:rsidRPr="00D330EE" w:rsidRDefault="00D330EE" w:rsidP="00D330EE">
      <w:pPr>
        <w:rPr>
          <w:rFonts w:ascii="Arial" w:hAnsi="Arial" w:cs="Arial"/>
          <w:b/>
          <w:sz w:val="28"/>
          <w:szCs w:val="28"/>
        </w:rPr>
      </w:pPr>
    </w:p>
    <w:p w:rsidR="003C7A7D" w:rsidRPr="00FB4694" w:rsidRDefault="003C7A7D" w:rsidP="003C7A7D">
      <w:pPr>
        <w:spacing w:after="240"/>
        <w:rPr>
          <w:rFonts w:ascii="Arial" w:hAnsi="Arial" w:cs="Arial"/>
          <w:b/>
          <w:u w:val="single"/>
        </w:rPr>
      </w:pPr>
      <w:r w:rsidRPr="00FB4694">
        <w:rPr>
          <w:rFonts w:ascii="Arial" w:hAnsi="Arial" w:cs="Arial"/>
          <w:b/>
          <w:u w:val="single"/>
        </w:rPr>
        <w:t>Substantive compliance costs</w:t>
      </w:r>
    </w:p>
    <w:p w:rsidR="003C7A7D" w:rsidRDefault="003C7A7D" w:rsidP="003C7A7D">
      <w:pPr>
        <w:spacing w:after="240"/>
        <w:rPr>
          <w:rFonts w:ascii="Arial" w:hAnsi="Arial" w:cs="Arial"/>
        </w:rPr>
      </w:pPr>
      <w:r>
        <w:rPr>
          <w:rFonts w:ascii="Arial" w:hAnsi="Arial" w:cs="Arial"/>
        </w:rPr>
        <w:t xml:space="preserve">Substantive compliance costs are costs incurred to deliver the regulated outcomes being sought. The </w:t>
      </w:r>
      <w:proofErr w:type="gramStart"/>
      <w:r>
        <w:rPr>
          <w:rFonts w:ascii="Arial" w:hAnsi="Arial" w:cs="Arial"/>
        </w:rPr>
        <w:t>cost of testing direct and prolonged contact articles to establish that they meet regulation make</w:t>
      </w:r>
      <w:proofErr w:type="gramEnd"/>
      <w:r>
        <w:rPr>
          <w:rFonts w:ascii="Arial" w:hAnsi="Arial" w:cs="Arial"/>
        </w:rPr>
        <w:t xml:space="preserve"> up substantive costs. </w:t>
      </w:r>
    </w:p>
    <w:p w:rsidR="003C7A7D" w:rsidRDefault="003C7A7D" w:rsidP="003C7A7D">
      <w:pPr>
        <w:spacing w:after="240"/>
        <w:rPr>
          <w:rFonts w:ascii="Arial" w:hAnsi="Arial" w:cs="Arial"/>
        </w:rPr>
      </w:pPr>
      <w:r>
        <w:rPr>
          <w:rFonts w:ascii="Arial" w:hAnsi="Arial" w:cs="Arial"/>
        </w:rPr>
        <w:t xml:space="preserve">Substantive costs depend on the number of tests businesses conduct and the cost of testing. </w:t>
      </w:r>
    </w:p>
    <w:p w:rsidR="003C7A7D" w:rsidRDefault="003C7A7D" w:rsidP="003C7A7D">
      <w:pPr>
        <w:spacing w:after="240"/>
        <w:rPr>
          <w:rFonts w:ascii="Arial" w:hAnsi="Arial" w:cs="Arial"/>
        </w:rPr>
      </w:pPr>
      <w:proofErr w:type="gramStart"/>
      <w:r>
        <w:rPr>
          <w:rFonts w:ascii="Arial" w:hAnsi="Arial" w:cs="Arial"/>
        </w:rPr>
        <w:t>Table A8.7 sets out the number of businesses likely to be affected by regulation.</w:t>
      </w:r>
      <w:proofErr w:type="gramEnd"/>
      <w:r>
        <w:rPr>
          <w:rFonts w:ascii="Arial" w:hAnsi="Arial" w:cs="Arial"/>
        </w:rPr>
        <w:t xml:space="preserve"> They have been divided into self-employing, small, medium and large businesses based on data from the Australian Bureau of Statistics.</w:t>
      </w:r>
    </w:p>
    <w:p w:rsidR="003C7A7D" w:rsidRDefault="003C7A7D" w:rsidP="003C7A7D">
      <w:pPr>
        <w:spacing w:after="240"/>
        <w:rPr>
          <w:rFonts w:ascii="Arial" w:hAnsi="Arial" w:cs="Arial"/>
        </w:rPr>
      </w:pPr>
      <w:r>
        <w:rPr>
          <w:rFonts w:ascii="Arial" w:hAnsi="Arial" w:cs="Arial"/>
        </w:rPr>
        <w:t>Table A8.8 sets out an estimation of the number of tests each size of business is likely to need to conduct. A number of large businesses provided information on the number of additional tests they would need to undertake under the regulatory option. The estimate for large businesses is based on that advice and the estimates for other businesses ha</w:t>
      </w:r>
      <w:r w:rsidR="0084423A">
        <w:rPr>
          <w:rFonts w:ascii="Arial" w:hAnsi="Arial" w:cs="Arial"/>
        </w:rPr>
        <w:t>ve</w:t>
      </w:r>
      <w:r>
        <w:rPr>
          <w:rFonts w:ascii="Arial" w:hAnsi="Arial" w:cs="Arial"/>
        </w:rPr>
        <w:t xml:space="preserve"> been </w:t>
      </w:r>
      <w:r w:rsidR="0084423A">
        <w:rPr>
          <w:rFonts w:ascii="Arial" w:hAnsi="Arial" w:cs="Arial"/>
        </w:rPr>
        <w:t>pared</w:t>
      </w:r>
      <w:r>
        <w:rPr>
          <w:rFonts w:ascii="Arial" w:hAnsi="Arial" w:cs="Arial"/>
        </w:rPr>
        <w:t xml:space="preserve"> back based size (i.e. medium size businesses conducting fewer tests than large businesses etc.). As noted above, estimates are stated in both minimum and maximum number of tests per size of business.</w:t>
      </w:r>
    </w:p>
    <w:p w:rsidR="003C7A7D" w:rsidRDefault="003C7A7D" w:rsidP="003C7A7D">
      <w:pPr>
        <w:spacing w:after="240"/>
        <w:rPr>
          <w:rFonts w:ascii="Arial" w:hAnsi="Arial" w:cs="Arial"/>
        </w:rPr>
      </w:pPr>
      <w:proofErr w:type="gramStart"/>
      <w:r>
        <w:rPr>
          <w:rFonts w:ascii="Arial" w:hAnsi="Arial" w:cs="Arial"/>
        </w:rPr>
        <w:t>Table A8.9 sets out the cost of testing in Australian dollars.</w:t>
      </w:r>
      <w:proofErr w:type="gramEnd"/>
    </w:p>
    <w:p w:rsidR="003C7A7D" w:rsidRDefault="003C7A7D" w:rsidP="003C7A7D">
      <w:pPr>
        <w:spacing w:after="240"/>
        <w:rPr>
          <w:rFonts w:ascii="Arial" w:hAnsi="Arial" w:cs="Arial"/>
        </w:rPr>
      </w:pPr>
      <w:r>
        <w:rPr>
          <w:rFonts w:ascii="Arial" w:hAnsi="Arial" w:cs="Arial"/>
        </w:rPr>
        <w:t>Substantive costs are estimated by multiplying the number of businesses, the number of tests and the cost of testing. The midpoint (between minimum and maximum) is then determined.</w:t>
      </w:r>
    </w:p>
    <w:p w:rsidR="003C7A7D" w:rsidRDefault="003C7A7D" w:rsidP="003C7A7D">
      <w:pPr>
        <w:spacing w:after="240"/>
        <w:rPr>
          <w:rFonts w:ascii="Arial" w:hAnsi="Arial" w:cs="Arial"/>
        </w:rPr>
      </w:pPr>
      <w:r>
        <w:rPr>
          <w:rFonts w:ascii="Arial" w:hAnsi="Arial" w:cs="Arial"/>
        </w:rPr>
        <w:t>A summary of substantive costs in the first year of regulation is set out in Table A8.4.</w:t>
      </w:r>
    </w:p>
    <w:p w:rsidR="003C7A7D" w:rsidRPr="00FB4694" w:rsidRDefault="003C7A7D" w:rsidP="003C7A7D">
      <w:pPr>
        <w:keepNext/>
        <w:spacing w:after="120"/>
        <w:ind w:left="1440" w:hanging="1440"/>
        <w:rPr>
          <w:rFonts w:ascii="Arial" w:hAnsi="Arial" w:cs="Arial"/>
          <w:b/>
        </w:rPr>
      </w:pPr>
      <w:r w:rsidRPr="00FB4694">
        <w:rPr>
          <w:rFonts w:ascii="Arial" w:hAnsi="Arial" w:cs="Arial"/>
          <w:b/>
        </w:rPr>
        <w:lastRenderedPageBreak/>
        <w:t>Table A8.</w:t>
      </w:r>
      <w:r>
        <w:rPr>
          <w:rFonts w:ascii="Arial" w:hAnsi="Arial" w:cs="Arial"/>
          <w:b/>
        </w:rPr>
        <w:t>4</w:t>
      </w:r>
      <w:r w:rsidRPr="00FB4694">
        <w:rPr>
          <w:rFonts w:ascii="Arial" w:hAnsi="Arial" w:cs="Arial"/>
          <w:b/>
        </w:rPr>
        <w:t>:</w:t>
      </w:r>
      <w:r>
        <w:rPr>
          <w:rFonts w:ascii="Arial" w:hAnsi="Arial" w:cs="Arial"/>
          <w:b/>
        </w:rPr>
        <w:tab/>
      </w:r>
      <w:r w:rsidRPr="00FB4694">
        <w:rPr>
          <w:rFonts w:ascii="Arial" w:hAnsi="Arial" w:cs="Arial"/>
          <w:b/>
        </w:rPr>
        <w:t>Summary of substantive compliance costs</w:t>
      </w:r>
      <w:r>
        <w:rPr>
          <w:rFonts w:ascii="Arial" w:hAnsi="Arial" w:cs="Arial"/>
          <w:b/>
        </w:rPr>
        <w:t xml:space="preserve"> in the first year of regulation (2015-16), $m</w:t>
      </w:r>
    </w:p>
    <w:tbl>
      <w:tblPr>
        <w:tblStyle w:val="TableGrid"/>
        <w:tblW w:w="0" w:type="auto"/>
        <w:tblBorders>
          <w:top w:val="single" w:sz="12" w:space="0" w:color="auto"/>
          <w:left w:val="none" w:sz="0" w:space="0" w:color="auto"/>
          <w:bottom w:val="single" w:sz="12" w:space="0" w:color="auto"/>
          <w:right w:val="none" w:sz="0" w:space="0" w:color="auto"/>
          <w:insideH w:val="single" w:sz="2" w:space="0" w:color="auto"/>
          <w:insideV w:val="none" w:sz="0" w:space="0" w:color="auto"/>
        </w:tblBorders>
        <w:tblLook w:val="04A0" w:firstRow="1" w:lastRow="0" w:firstColumn="1" w:lastColumn="0" w:noHBand="0" w:noVBand="1"/>
      </w:tblPr>
      <w:tblGrid>
        <w:gridCol w:w="1808"/>
        <w:gridCol w:w="1307"/>
        <w:gridCol w:w="1510"/>
        <w:gridCol w:w="1510"/>
        <w:gridCol w:w="1714"/>
        <w:gridCol w:w="1180"/>
      </w:tblGrid>
      <w:tr w:rsidR="003C7A7D" w:rsidRPr="008148DA" w:rsidTr="003C7A7D">
        <w:trPr>
          <w:cantSplit/>
        </w:trPr>
        <w:tc>
          <w:tcPr>
            <w:tcW w:w="1808" w:type="dxa"/>
            <w:tcBorders>
              <w:top w:val="single" w:sz="12" w:space="0" w:color="auto"/>
              <w:bottom w:val="single" w:sz="12" w:space="0" w:color="auto"/>
            </w:tcBorders>
          </w:tcPr>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 xml:space="preserve">Stakeholder </w:t>
            </w:r>
            <w:r w:rsidRPr="00FB4694">
              <w:rPr>
                <w:rFonts w:ascii="Arial" w:hAnsi="Arial" w:cs="Arial"/>
                <w:sz w:val="20"/>
                <w:szCs w:val="20"/>
              </w:rPr>
              <w:t>(includes costs of both clothing and Manchester and other textile goods suppliers)</w:t>
            </w:r>
          </w:p>
        </w:tc>
        <w:tc>
          <w:tcPr>
            <w:tcW w:w="1307" w:type="dxa"/>
            <w:tcBorders>
              <w:top w:val="single" w:sz="12" w:space="0" w:color="auto"/>
              <w:bottom w:val="single" w:sz="12" w:space="0" w:color="auto"/>
            </w:tcBorders>
          </w:tcPr>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Non-employing</w:t>
            </w:r>
          </w:p>
        </w:tc>
        <w:tc>
          <w:tcPr>
            <w:tcW w:w="1510" w:type="dxa"/>
            <w:tcBorders>
              <w:top w:val="single" w:sz="12" w:space="0" w:color="auto"/>
              <w:bottom w:val="single" w:sz="12" w:space="0" w:color="auto"/>
            </w:tcBorders>
          </w:tcPr>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Small</w:t>
            </w:r>
          </w:p>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1-19 employees</w:t>
            </w:r>
          </w:p>
        </w:tc>
        <w:tc>
          <w:tcPr>
            <w:tcW w:w="1510" w:type="dxa"/>
            <w:tcBorders>
              <w:top w:val="single" w:sz="12" w:space="0" w:color="auto"/>
              <w:bottom w:val="single" w:sz="12" w:space="0" w:color="auto"/>
            </w:tcBorders>
          </w:tcPr>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Medium</w:t>
            </w:r>
          </w:p>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20-199 employees</w:t>
            </w:r>
          </w:p>
        </w:tc>
        <w:tc>
          <w:tcPr>
            <w:tcW w:w="1714" w:type="dxa"/>
            <w:tcBorders>
              <w:top w:val="single" w:sz="12" w:space="0" w:color="auto"/>
              <w:bottom w:val="single" w:sz="12" w:space="0" w:color="auto"/>
            </w:tcBorders>
          </w:tcPr>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Large</w:t>
            </w:r>
          </w:p>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200+ employees</w:t>
            </w:r>
          </w:p>
        </w:tc>
        <w:tc>
          <w:tcPr>
            <w:tcW w:w="1180" w:type="dxa"/>
            <w:tcBorders>
              <w:top w:val="single" w:sz="12" w:space="0" w:color="auto"/>
              <w:bottom w:val="single" w:sz="12" w:space="0" w:color="auto"/>
            </w:tcBorders>
          </w:tcPr>
          <w:p w:rsidR="003C7A7D" w:rsidRPr="00FB4694" w:rsidRDefault="003C7A7D" w:rsidP="003C7A7D">
            <w:pPr>
              <w:keepNext/>
              <w:spacing w:after="240"/>
              <w:jc w:val="center"/>
              <w:rPr>
                <w:rFonts w:ascii="Arial" w:hAnsi="Arial" w:cs="Arial"/>
                <w:b/>
                <w:sz w:val="20"/>
                <w:szCs w:val="20"/>
              </w:rPr>
            </w:pPr>
            <w:r>
              <w:rPr>
                <w:rFonts w:ascii="Arial" w:hAnsi="Arial" w:cs="Arial"/>
                <w:b/>
                <w:sz w:val="20"/>
                <w:szCs w:val="20"/>
              </w:rPr>
              <w:t>Total</w:t>
            </w:r>
          </w:p>
        </w:tc>
      </w:tr>
      <w:tr w:rsidR="003C7A7D" w:rsidRPr="008148DA" w:rsidTr="003C7A7D">
        <w:trPr>
          <w:cantSplit/>
        </w:trPr>
        <w:tc>
          <w:tcPr>
            <w:tcW w:w="1808" w:type="dxa"/>
            <w:tcBorders>
              <w:top w:val="single" w:sz="12" w:space="0" w:color="auto"/>
            </w:tcBorders>
          </w:tcPr>
          <w:p w:rsidR="003C7A7D" w:rsidRPr="00FB4694" w:rsidRDefault="003C7A7D" w:rsidP="003C7A7D">
            <w:pPr>
              <w:keepNext/>
              <w:spacing w:after="240"/>
              <w:rPr>
                <w:rFonts w:ascii="Arial" w:hAnsi="Arial" w:cs="Arial"/>
                <w:b/>
                <w:sz w:val="20"/>
                <w:szCs w:val="20"/>
              </w:rPr>
            </w:pPr>
            <w:r w:rsidRPr="00FB4694">
              <w:rPr>
                <w:rFonts w:ascii="Arial" w:hAnsi="Arial" w:cs="Arial"/>
                <w:b/>
                <w:sz w:val="20"/>
                <w:szCs w:val="20"/>
              </w:rPr>
              <w:t>Testing costs</w:t>
            </w:r>
          </w:p>
        </w:tc>
        <w:tc>
          <w:tcPr>
            <w:tcW w:w="1307" w:type="dxa"/>
            <w:tcBorders>
              <w:top w:val="single" w:sz="12" w:space="0" w:color="auto"/>
            </w:tcBorders>
          </w:tcPr>
          <w:p w:rsidR="003C7A7D" w:rsidRPr="00FB4694" w:rsidRDefault="003C7A7D" w:rsidP="003C7A7D">
            <w:pPr>
              <w:keepNext/>
              <w:spacing w:after="240"/>
              <w:jc w:val="center"/>
              <w:rPr>
                <w:rFonts w:ascii="Arial" w:hAnsi="Arial" w:cs="Arial"/>
                <w:b/>
                <w:sz w:val="20"/>
                <w:szCs w:val="20"/>
              </w:rPr>
            </w:pPr>
          </w:p>
        </w:tc>
        <w:tc>
          <w:tcPr>
            <w:tcW w:w="1510" w:type="dxa"/>
            <w:tcBorders>
              <w:top w:val="single" w:sz="12" w:space="0" w:color="auto"/>
            </w:tcBorders>
          </w:tcPr>
          <w:p w:rsidR="003C7A7D" w:rsidRPr="00FB4694" w:rsidRDefault="003C7A7D" w:rsidP="003C7A7D">
            <w:pPr>
              <w:keepNext/>
              <w:spacing w:after="240"/>
              <w:jc w:val="center"/>
              <w:rPr>
                <w:rFonts w:ascii="Arial" w:hAnsi="Arial" w:cs="Arial"/>
                <w:b/>
                <w:sz w:val="20"/>
                <w:szCs w:val="20"/>
              </w:rPr>
            </w:pPr>
          </w:p>
        </w:tc>
        <w:tc>
          <w:tcPr>
            <w:tcW w:w="1510" w:type="dxa"/>
            <w:tcBorders>
              <w:top w:val="single" w:sz="12" w:space="0" w:color="auto"/>
            </w:tcBorders>
          </w:tcPr>
          <w:p w:rsidR="003C7A7D" w:rsidRPr="00FB4694" w:rsidRDefault="003C7A7D" w:rsidP="003C7A7D">
            <w:pPr>
              <w:keepNext/>
              <w:spacing w:after="240"/>
              <w:jc w:val="center"/>
              <w:rPr>
                <w:rFonts w:ascii="Arial" w:hAnsi="Arial" w:cs="Arial"/>
                <w:b/>
                <w:sz w:val="20"/>
                <w:szCs w:val="20"/>
              </w:rPr>
            </w:pPr>
          </w:p>
        </w:tc>
        <w:tc>
          <w:tcPr>
            <w:tcW w:w="1714" w:type="dxa"/>
            <w:tcBorders>
              <w:top w:val="single" w:sz="12" w:space="0" w:color="auto"/>
            </w:tcBorders>
          </w:tcPr>
          <w:p w:rsidR="003C7A7D" w:rsidRPr="00FB4694" w:rsidRDefault="003C7A7D" w:rsidP="003C7A7D">
            <w:pPr>
              <w:keepNext/>
              <w:spacing w:after="240"/>
              <w:jc w:val="center"/>
              <w:rPr>
                <w:rFonts w:ascii="Arial" w:hAnsi="Arial" w:cs="Arial"/>
                <w:b/>
                <w:sz w:val="20"/>
                <w:szCs w:val="20"/>
              </w:rPr>
            </w:pPr>
          </w:p>
        </w:tc>
        <w:tc>
          <w:tcPr>
            <w:tcW w:w="1180" w:type="dxa"/>
            <w:tcBorders>
              <w:top w:val="single" w:sz="12" w:space="0" w:color="auto"/>
            </w:tcBorders>
          </w:tcPr>
          <w:p w:rsidR="003C7A7D" w:rsidRPr="00FB4694" w:rsidRDefault="003C7A7D" w:rsidP="003C7A7D">
            <w:pPr>
              <w:keepNext/>
              <w:spacing w:after="240"/>
              <w:jc w:val="center"/>
              <w:rPr>
                <w:rFonts w:ascii="Arial" w:hAnsi="Arial" w:cs="Arial"/>
                <w:b/>
                <w:sz w:val="20"/>
                <w:szCs w:val="20"/>
              </w:rPr>
            </w:pPr>
          </w:p>
        </w:tc>
      </w:tr>
      <w:tr w:rsidR="003C7A7D" w:rsidRPr="008148DA" w:rsidTr="003C7A7D">
        <w:trPr>
          <w:cantSplit/>
        </w:trPr>
        <w:tc>
          <w:tcPr>
            <w:tcW w:w="1808" w:type="dxa"/>
          </w:tcPr>
          <w:p w:rsidR="003C7A7D" w:rsidRPr="000A5A4A" w:rsidRDefault="003C7A7D" w:rsidP="003C7A7D">
            <w:pPr>
              <w:keepNext/>
              <w:spacing w:after="240"/>
              <w:rPr>
                <w:rFonts w:ascii="Arial" w:hAnsi="Arial" w:cs="Arial"/>
                <w:sz w:val="20"/>
                <w:szCs w:val="20"/>
              </w:rPr>
            </w:pPr>
            <w:r w:rsidRPr="00FB4694">
              <w:rPr>
                <w:rFonts w:ascii="Arial" w:hAnsi="Arial" w:cs="Arial"/>
                <w:sz w:val="20"/>
                <w:szCs w:val="20"/>
              </w:rPr>
              <w:t xml:space="preserve">Minimum estimated </w:t>
            </w:r>
            <w:r>
              <w:rPr>
                <w:rFonts w:ascii="Arial" w:hAnsi="Arial" w:cs="Arial"/>
                <w:sz w:val="20"/>
                <w:szCs w:val="20"/>
              </w:rPr>
              <w:t xml:space="preserve">additional </w:t>
            </w:r>
            <w:r w:rsidRPr="00FB4694">
              <w:rPr>
                <w:rFonts w:ascii="Arial" w:hAnsi="Arial" w:cs="Arial"/>
                <w:sz w:val="20"/>
                <w:szCs w:val="20"/>
              </w:rPr>
              <w:t xml:space="preserve">cost </w:t>
            </w:r>
          </w:p>
        </w:tc>
        <w:tc>
          <w:tcPr>
            <w:tcW w:w="1307" w:type="dxa"/>
            <w:vAlign w:val="center"/>
          </w:tcPr>
          <w:p w:rsidR="003C7A7D" w:rsidRPr="00CE6154" w:rsidRDefault="003C7A7D" w:rsidP="003C7A7D">
            <w:pPr>
              <w:keepNext/>
              <w:spacing w:after="240"/>
              <w:jc w:val="center"/>
              <w:rPr>
                <w:rFonts w:ascii="Arial" w:hAnsi="Arial" w:cs="Arial"/>
                <w:sz w:val="20"/>
                <w:szCs w:val="20"/>
              </w:rPr>
            </w:pPr>
            <w:r>
              <w:rPr>
                <w:rFonts w:ascii="Arial" w:hAnsi="Arial" w:cs="Arial"/>
                <w:sz w:val="20"/>
                <w:szCs w:val="20"/>
              </w:rPr>
              <w:t>2.0</w:t>
            </w:r>
          </w:p>
        </w:tc>
        <w:tc>
          <w:tcPr>
            <w:tcW w:w="151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7.3</w:t>
            </w:r>
          </w:p>
        </w:tc>
        <w:tc>
          <w:tcPr>
            <w:tcW w:w="151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1.1</w:t>
            </w:r>
          </w:p>
        </w:tc>
        <w:tc>
          <w:tcPr>
            <w:tcW w:w="1714"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1.3</w:t>
            </w:r>
          </w:p>
        </w:tc>
        <w:tc>
          <w:tcPr>
            <w:tcW w:w="118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11.7</w:t>
            </w:r>
          </w:p>
        </w:tc>
      </w:tr>
      <w:tr w:rsidR="003C7A7D" w:rsidRPr="008148DA" w:rsidTr="003C7A7D">
        <w:trPr>
          <w:cantSplit/>
        </w:trPr>
        <w:tc>
          <w:tcPr>
            <w:tcW w:w="1808" w:type="dxa"/>
          </w:tcPr>
          <w:p w:rsidR="003C7A7D" w:rsidRPr="000A5A4A" w:rsidRDefault="003C7A7D" w:rsidP="003C7A7D">
            <w:pPr>
              <w:keepNext/>
              <w:spacing w:after="240"/>
              <w:rPr>
                <w:rFonts w:ascii="Arial" w:hAnsi="Arial" w:cs="Arial"/>
                <w:sz w:val="20"/>
                <w:szCs w:val="20"/>
              </w:rPr>
            </w:pPr>
            <w:r w:rsidRPr="00FB4694">
              <w:rPr>
                <w:rFonts w:ascii="Arial" w:hAnsi="Arial" w:cs="Arial"/>
                <w:sz w:val="20"/>
                <w:szCs w:val="20"/>
              </w:rPr>
              <w:t xml:space="preserve">Maximum </w:t>
            </w:r>
            <w:r>
              <w:rPr>
                <w:rFonts w:ascii="Arial" w:hAnsi="Arial" w:cs="Arial"/>
                <w:sz w:val="20"/>
                <w:szCs w:val="20"/>
              </w:rPr>
              <w:t>estimated additional cost</w:t>
            </w:r>
            <w:r w:rsidRPr="00FB4694">
              <w:rPr>
                <w:rFonts w:ascii="Arial" w:hAnsi="Arial" w:cs="Arial"/>
                <w:sz w:val="20"/>
                <w:szCs w:val="20"/>
              </w:rPr>
              <w:t xml:space="preserve"> </w:t>
            </w:r>
          </w:p>
        </w:tc>
        <w:tc>
          <w:tcPr>
            <w:tcW w:w="1307" w:type="dxa"/>
            <w:vAlign w:val="center"/>
          </w:tcPr>
          <w:p w:rsidR="003C7A7D" w:rsidRPr="00CE6154" w:rsidRDefault="003C7A7D" w:rsidP="003C7A7D">
            <w:pPr>
              <w:keepNext/>
              <w:spacing w:after="240"/>
              <w:jc w:val="center"/>
              <w:rPr>
                <w:rFonts w:ascii="Arial" w:hAnsi="Arial" w:cs="Arial"/>
                <w:sz w:val="20"/>
                <w:szCs w:val="20"/>
              </w:rPr>
            </w:pPr>
            <w:r>
              <w:rPr>
                <w:rFonts w:ascii="Arial" w:hAnsi="Arial" w:cs="Arial"/>
                <w:sz w:val="20"/>
                <w:szCs w:val="20"/>
              </w:rPr>
              <w:t>6.1</w:t>
            </w:r>
          </w:p>
        </w:tc>
        <w:tc>
          <w:tcPr>
            <w:tcW w:w="151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24.5</w:t>
            </w:r>
          </w:p>
        </w:tc>
        <w:tc>
          <w:tcPr>
            <w:tcW w:w="151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6.4</w:t>
            </w:r>
          </w:p>
        </w:tc>
        <w:tc>
          <w:tcPr>
            <w:tcW w:w="1714"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4.7</w:t>
            </w:r>
          </w:p>
        </w:tc>
        <w:tc>
          <w:tcPr>
            <w:tcW w:w="118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41.6</w:t>
            </w:r>
          </w:p>
        </w:tc>
      </w:tr>
      <w:tr w:rsidR="003C7A7D" w:rsidRPr="008148DA" w:rsidTr="003C7A7D">
        <w:trPr>
          <w:cantSplit/>
        </w:trPr>
        <w:tc>
          <w:tcPr>
            <w:tcW w:w="1808" w:type="dxa"/>
          </w:tcPr>
          <w:p w:rsidR="003C7A7D" w:rsidRPr="000A5A4A" w:rsidRDefault="003C7A7D" w:rsidP="003C7A7D">
            <w:pPr>
              <w:keepNext/>
              <w:spacing w:after="240"/>
              <w:rPr>
                <w:rFonts w:ascii="Arial" w:hAnsi="Arial" w:cs="Arial"/>
                <w:sz w:val="20"/>
                <w:szCs w:val="20"/>
              </w:rPr>
            </w:pPr>
            <w:r>
              <w:rPr>
                <w:rFonts w:ascii="Arial" w:hAnsi="Arial" w:cs="Arial"/>
                <w:sz w:val="20"/>
                <w:szCs w:val="20"/>
              </w:rPr>
              <w:t>Midpoint estimated</w:t>
            </w:r>
            <w:r w:rsidRPr="00FB4694">
              <w:rPr>
                <w:rFonts w:ascii="Arial" w:hAnsi="Arial" w:cs="Arial"/>
                <w:sz w:val="20"/>
                <w:szCs w:val="20"/>
              </w:rPr>
              <w:t xml:space="preserve"> additional costs </w:t>
            </w:r>
          </w:p>
        </w:tc>
        <w:tc>
          <w:tcPr>
            <w:tcW w:w="1307" w:type="dxa"/>
            <w:vAlign w:val="center"/>
          </w:tcPr>
          <w:p w:rsidR="003C7A7D" w:rsidRPr="00CE6154" w:rsidRDefault="003C7A7D" w:rsidP="003C7A7D">
            <w:pPr>
              <w:keepNext/>
              <w:spacing w:after="240"/>
              <w:jc w:val="center"/>
              <w:rPr>
                <w:rFonts w:ascii="Arial" w:hAnsi="Arial" w:cs="Arial"/>
                <w:sz w:val="20"/>
                <w:szCs w:val="20"/>
              </w:rPr>
            </w:pPr>
            <w:r>
              <w:rPr>
                <w:rFonts w:ascii="Arial" w:hAnsi="Arial" w:cs="Arial"/>
                <w:sz w:val="20"/>
                <w:szCs w:val="20"/>
              </w:rPr>
              <w:t>4.0</w:t>
            </w:r>
          </w:p>
        </w:tc>
        <w:tc>
          <w:tcPr>
            <w:tcW w:w="151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15.9</w:t>
            </w:r>
          </w:p>
        </w:tc>
        <w:tc>
          <w:tcPr>
            <w:tcW w:w="151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3.8</w:t>
            </w:r>
          </w:p>
        </w:tc>
        <w:tc>
          <w:tcPr>
            <w:tcW w:w="1714"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3.0</w:t>
            </w:r>
          </w:p>
        </w:tc>
        <w:tc>
          <w:tcPr>
            <w:tcW w:w="118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26.7</w:t>
            </w:r>
          </w:p>
        </w:tc>
      </w:tr>
    </w:tbl>
    <w:p w:rsidR="003C7A7D" w:rsidRDefault="003C7A7D" w:rsidP="003C7A7D">
      <w:pPr>
        <w:spacing w:after="240"/>
        <w:rPr>
          <w:rFonts w:ascii="Arial" w:hAnsi="Arial" w:cs="Arial"/>
        </w:rPr>
      </w:pPr>
    </w:p>
    <w:p w:rsidR="003C7A7D" w:rsidRPr="00733E4E" w:rsidRDefault="003C7A7D" w:rsidP="003C7A7D">
      <w:pPr>
        <w:spacing w:after="240"/>
        <w:rPr>
          <w:rFonts w:ascii="Arial" w:hAnsi="Arial" w:cs="Arial"/>
          <w:b/>
          <w:u w:val="single"/>
        </w:rPr>
      </w:pPr>
      <w:r>
        <w:rPr>
          <w:rFonts w:ascii="Arial" w:hAnsi="Arial" w:cs="Arial"/>
          <w:b/>
          <w:u w:val="single"/>
        </w:rPr>
        <w:t>A</w:t>
      </w:r>
      <w:r w:rsidRPr="00733E4E">
        <w:rPr>
          <w:rFonts w:ascii="Arial" w:hAnsi="Arial" w:cs="Arial"/>
          <w:b/>
          <w:u w:val="single"/>
        </w:rPr>
        <w:t>dministrat</w:t>
      </w:r>
      <w:r>
        <w:rPr>
          <w:rFonts w:ascii="Arial" w:hAnsi="Arial" w:cs="Arial"/>
          <w:b/>
          <w:u w:val="single"/>
        </w:rPr>
        <w:t>ion costs</w:t>
      </w:r>
    </w:p>
    <w:p w:rsidR="003C7A7D" w:rsidRDefault="003C7A7D" w:rsidP="003C7A7D">
      <w:pPr>
        <w:spacing w:after="240"/>
        <w:rPr>
          <w:rFonts w:ascii="Arial" w:hAnsi="Arial" w:cs="Arial"/>
        </w:rPr>
      </w:pPr>
      <w:r>
        <w:rPr>
          <w:rFonts w:ascii="Arial" w:hAnsi="Arial" w:cs="Arial"/>
        </w:rPr>
        <w:t>It is anticipated that business compliance staff will need to perform a number of additional tasks. Costs depend on the estimated:</w:t>
      </w:r>
    </w:p>
    <w:p w:rsidR="003C7A7D" w:rsidRDefault="003C7A7D" w:rsidP="003C7A7D">
      <w:pPr>
        <w:numPr>
          <w:ilvl w:val="0"/>
          <w:numId w:val="30"/>
        </w:numPr>
        <w:spacing w:before="60" w:after="60"/>
        <w:ind w:left="357" w:hanging="357"/>
        <w:rPr>
          <w:rFonts w:ascii="Arial" w:hAnsi="Arial" w:cs="Arial"/>
        </w:rPr>
      </w:pPr>
      <w:r>
        <w:rPr>
          <w:rFonts w:ascii="Arial" w:hAnsi="Arial" w:cs="Arial"/>
        </w:rPr>
        <w:t>number of businesses affected (Table A8.7)</w:t>
      </w:r>
    </w:p>
    <w:p w:rsidR="003C7A7D" w:rsidRDefault="003C7A7D" w:rsidP="003C7A7D">
      <w:pPr>
        <w:numPr>
          <w:ilvl w:val="0"/>
          <w:numId w:val="30"/>
        </w:numPr>
        <w:spacing w:before="60" w:after="60"/>
        <w:ind w:left="357" w:hanging="357"/>
        <w:rPr>
          <w:rFonts w:ascii="Arial" w:hAnsi="Arial" w:cs="Arial"/>
        </w:rPr>
      </w:pPr>
      <w:r>
        <w:rPr>
          <w:rFonts w:ascii="Arial" w:hAnsi="Arial" w:cs="Arial"/>
        </w:rPr>
        <w:t>number of tests conducted (Table A8.8)</w:t>
      </w:r>
    </w:p>
    <w:p w:rsidR="003C7A7D" w:rsidRDefault="003C7A7D" w:rsidP="003C7A7D">
      <w:pPr>
        <w:numPr>
          <w:ilvl w:val="0"/>
          <w:numId w:val="30"/>
        </w:numPr>
        <w:spacing w:before="60" w:after="60"/>
        <w:ind w:left="357" w:hanging="357"/>
        <w:rPr>
          <w:rFonts w:ascii="Arial" w:hAnsi="Arial" w:cs="Arial"/>
        </w:rPr>
      </w:pPr>
      <w:r>
        <w:rPr>
          <w:rFonts w:ascii="Arial" w:hAnsi="Arial" w:cs="Arial"/>
        </w:rPr>
        <w:t>hourly rate for compliance staff (Table A8.10)</w:t>
      </w:r>
    </w:p>
    <w:p w:rsidR="003C7A7D" w:rsidRDefault="003C7A7D" w:rsidP="003C7A7D">
      <w:pPr>
        <w:numPr>
          <w:ilvl w:val="0"/>
          <w:numId w:val="30"/>
        </w:numPr>
        <w:spacing w:before="60" w:after="60"/>
        <w:ind w:left="357" w:hanging="357"/>
        <w:rPr>
          <w:rFonts w:ascii="Arial" w:hAnsi="Arial" w:cs="Arial"/>
        </w:rPr>
      </w:pPr>
      <w:proofErr w:type="gramStart"/>
      <w:r>
        <w:rPr>
          <w:rFonts w:ascii="Arial" w:hAnsi="Arial" w:cs="Arial"/>
        </w:rPr>
        <w:t>time</w:t>
      </w:r>
      <w:proofErr w:type="gramEnd"/>
      <w:r>
        <w:rPr>
          <w:rFonts w:ascii="Arial" w:hAnsi="Arial" w:cs="Arial"/>
        </w:rPr>
        <w:t xml:space="preserve"> spent on each task.</w:t>
      </w:r>
    </w:p>
    <w:p w:rsidR="003C7A7D" w:rsidRDefault="003C7A7D" w:rsidP="003C7A7D">
      <w:pPr>
        <w:spacing w:after="240"/>
        <w:rPr>
          <w:rFonts w:ascii="Arial" w:hAnsi="Arial" w:cs="Arial"/>
        </w:rPr>
      </w:pPr>
    </w:p>
    <w:p w:rsidR="003C7A7D" w:rsidRDefault="003C7A7D" w:rsidP="003C7A7D">
      <w:pPr>
        <w:spacing w:after="240"/>
        <w:rPr>
          <w:rFonts w:ascii="Arial" w:hAnsi="Arial" w:cs="Arial"/>
        </w:rPr>
      </w:pPr>
      <w:r>
        <w:rPr>
          <w:rFonts w:ascii="Arial" w:hAnsi="Arial" w:cs="Arial"/>
        </w:rPr>
        <w:t>The tasks which create additional administrative costs are:</w:t>
      </w:r>
    </w:p>
    <w:p w:rsidR="003C7A7D" w:rsidRDefault="003C7A7D" w:rsidP="003C7A7D">
      <w:pPr>
        <w:numPr>
          <w:ilvl w:val="0"/>
          <w:numId w:val="30"/>
        </w:numPr>
        <w:spacing w:before="60" w:after="60"/>
        <w:ind w:left="357" w:hanging="357"/>
        <w:rPr>
          <w:rFonts w:ascii="Arial" w:hAnsi="Arial" w:cs="Arial"/>
        </w:rPr>
      </w:pPr>
      <w:r>
        <w:rPr>
          <w:rFonts w:ascii="Arial" w:hAnsi="Arial" w:cs="Arial"/>
        </w:rPr>
        <w:t>Managing compliance testing – negotiating contracts for testing with an accredited test laboratory, organising batch samples for testing, reviewing test results. Estimated time per test – 30 minutes.</w:t>
      </w:r>
    </w:p>
    <w:p w:rsidR="003C7A7D" w:rsidRDefault="003C7A7D" w:rsidP="003C7A7D">
      <w:pPr>
        <w:numPr>
          <w:ilvl w:val="0"/>
          <w:numId w:val="30"/>
        </w:numPr>
        <w:spacing w:before="60" w:after="60"/>
        <w:ind w:left="357" w:hanging="357"/>
        <w:rPr>
          <w:rFonts w:ascii="Arial" w:hAnsi="Arial" w:cs="Arial"/>
        </w:rPr>
      </w:pPr>
      <w:r>
        <w:rPr>
          <w:rFonts w:ascii="Arial" w:hAnsi="Arial" w:cs="Arial"/>
        </w:rPr>
        <w:t>Record keeping – Maintaining internal records of compliance with regulation. Estimated time per test – 15 minutes.</w:t>
      </w:r>
    </w:p>
    <w:p w:rsidR="003C7A7D" w:rsidRDefault="003C7A7D" w:rsidP="003C7A7D">
      <w:pPr>
        <w:numPr>
          <w:ilvl w:val="0"/>
          <w:numId w:val="30"/>
        </w:numPr>
        <w:spacing w:before="60" w:after="240"/>
        <w:ind w:left="357" w:hanging="357"/>
        <w:rPr>
          <w:rFonts w:ascii="Arial" w:hAnsi="Arial" w:cs="Arial"/>
        </w:rPr>
      </w:pPr>
      <w:r>
        <w:rPr>
          <w:rFonts w:ascii="Arial" w:hAnsi="Arial" w:cs="Arial"/>
        </w:rPr>
        <w:t>Internal reporting – Reporting to management on levels of compliance. Estimated time per test – 5 minutes.</w:t>
      </w:r>
    </w:p>
    <w:p w:rsidR="003C7A7D" w:rsidRDefault="003C7A7D" w:rsidP="003C7A7D">
      <w:pPr>
        <w:spacing w:after="240"/>
        <w:rPr>
          <w:rFonts w:ascii="Arial" w:hAnsi="Arial" w:cs="Arial"/>
        </w:rPr>
      </w:pPr>
      <w:r>
        <w:rPr>
          <w:rFonts w:ascii="Arial" w:hAnsi="Arial" w:cs="Arial"/>
        </w:rPr>
        <w:t xml:space="preserve">The time estimates for administrative tasks take into account efficiencies by managing a number of compliance tests at one time. It is assumed that the more testing a business </w:t>
      </w:r>
      <w:proofErr w:type="gramStart"/>
      <w:r>
        <w:rPr>
          <w:rFonts w:ascii="Arial" w:hAnsi="Arial" w:cs="Arial"/>
        </w:rPr>
        <w:t>conducts,</w:t>
      </w:r>
      <w:proofErr w:type="gramEnd"/>
      <w:r>
        <w:rPr>
          <w:rFonts w:ascii="Arial" w:hAnsi="Arial" w:cs="Arial"/>
        </w:rPr>
        <w:t xml:space="preserve"> more efficient it will be in its ‘back office’ processes.</w:t>
      </w:r>
    </w:p>
    <w:p w:rsidR="003C7A7D" w:rsidRDefault="003C7A7D" w:rsidP="003C7A7D">
      <w:pPr>
        <w:spacing w:after="240"/>
        <w:rPr>
          <w:rFonts w:ascii="Arial" w:hAnsi="Arial" w:cs="Arial"/>
        </w:rPr>
      </w:pPr>
      <w:r>
        <w:rPr>
          <w:rFonts w:ascii="Arial" w:hAnsi="Arial" w:cs="Arial"/>
        </w:rPr>
        <w:t>Table A8.5 sets out a summary of estimated administrative costs in the first year based on the estimated number of additional tests likely to be conducted.</w:t>
      </w:r>
    </w:p>
    <w:p w:rsidR="003C7A7D" w:rsidRDefault="003C7A7D" w:rsidP="003C7A7D">
      <w:pPr>
        <w:keepNext/>
        <w:spacing w:after="120"/>
        <w:ind w:left="1440" w:hanging="1440"/>
        <w:rPr>
          <w:rFonts w:ascii="Arial" w:hAnsi="Arial" w:cs="Arial"/>
          <w:b/>
          <w:u w:val="single"/>
        </w:rPr>
      </w:pPr>
      <w:r w:rsidRPr="00733E4E">
        <w:rPr>
          <w:rFonts w:ascii="Arial" w:hAnsi="Arial" w:cs="Arial"/>
          <w:b/>
        </w:rPr>
        <w:lastRenderedPageBreak/>
        <w:t>Table A8.</w:t>
      </w:r>
      <w:r>
        <w:rPr>
          <w:rFonts w:ascii="Arial" w:hAnsi="Arial" w:cs="Arial"/>
          <w:b/>
        </w:rPr>
        <w:t>5</w:t>
      </w:r>
      <w:r w:rsidRPr="00733E4E">
        <w:rPr>
          <w:rFonts w:ascii="Arial" w:hAnsi="Arial" w:cs="Arial"/>
          <w:b/>
        </w:rPr>
        <w:t>:</w:t>
      </w:r>
      <w:r w:rsidRPr="00733E4E">
        <w:rPr>
          <w:rFonts w:ascii="Arial" w:hAnsi="Arial" w:cs="Arial"/>
          <w:b/>
        </w:rPr>
        <w:tab/>
        <w:t>Estimated additional administrative costs</w:t>
      </w:r>
      <w:r>
        <w:rPr>
          <w:rFonts w:ascii="Arial" w:hAnsi="Arial" w:cs="Arial"/>
          <w:b/>
        </w:rPr>
        <w:t xml:space="preserve"> in the first year of regulation (2015-16), $m</w:t>
      </w:r>
    </w:p>
    <w:tbl>
      <w:tblPr>
        <w:tblStyle w:val="TableGrid"/>
        <w:tblW w:w="0" w:type="auto"/>
        <w:tblBorders>
          <w:top w:val="single" w:sz="12" w:space="0" w:color="auto"/>
          <w:left w:val="none" w:sz="0" w:space="0" w:color="auto"/>
          <w:bottom w:val="single" w:sz="1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1985"/>
        <w:gridCol w:w="1276"/>
        <w:gridCol w:w="1369"/>
        <w:gridCol w:w="1477"/>
        <w:gridCol w:w="1691"/>
        <w:gridCol w:w="1231"/>
      </w:tblGrid>
      <w:tr w:rsidR="003C7A7D" w:rsidRPr="007121B8" w:rsidTr="003C7A7D">
        <w:trPr>
          <w:cantSplit/>
        </w:trPr>
        <w:tc>
          <w:tcPr>
            <w:tcW w:w="1985" w:type="dxa"/>
            <w:tcBorders>
              <w:top w:val="single" w:sz="12" w:space="0" w:color="auto"/>
              <w:bottom w:val="single" w:sz="12" w:space="0" w:color="auto"/>
            </w:tcBorders>
          </w:tcPr>
          <w:p w:rsidR="003C7A7D" w:rsidRPr="007121B8" w:rsidRDefault="003C7A7D" w:rsidP="003C7A7D">
            <w:pPr>
              <w:keepNext/>
              <w:spacing w:after="240"/>
              <w:rPr>
                <w:rFonts w:ascii="Arial" w:hAnsi="Arial" w:cs="Arial"/>
                <w:b/>
                <w:sz w:val="20"/>
                <w:szCs w:val="20"/>
              </w:rPr>
            </w:pPr>
            <w:r w:rsidRPr="007121B8">
              <w:rPr>
                <w:rFonts w:ascii="Arial" w:hAnsi="Arial" w:cs="Arial"/>
                <w:b/>
                <w:sz w:val="20"/>
                <w:szCs w:val="20"/>
              </w:rPr>
              <w:t xml:space="preserve">Stakeholder </w:t>
            </w:r>
            <w:r w:rsidRPr="007121B8">
              <w:rPr>
                <w:rFonts w:ascii="Arial" w:hAnsi="Arial" w:cs="Arial"/>
                <w:sz w:val="20"/>
                <w:szCs w:val="20"/>
              </w:rPr>
              <w:t>(includes costs of both clothing and Manchester and other textile goods suppliers)</w:t>
            </w:r>
          </w:p>
        </w:tc>
        <w:tc>
          <w:tcPr>
            <w:tcW w:w="1276" w:type="dxa"/>
            <w:tcBorders>
              <w:top w:val="single" w:sz="12" w:space="0" w:color="auto"/>
              <w:bottom w:val="single" w:sz="12" w:space="0" w:color="auto"/>
            </w:tcBorders>
          </w:tcPr>
          <w:p w:rsidR="003C7A7D" w:rsidRPr="007121B8" w:rsidRDefault="003C7A7D" w:rsidP="003C7A7D">
            <w:pPr>
              <w:keepNext/>
              <w:spacing w:after="240"/>
              <w:jc w:val="center"/>
              <w:rPr>
                <w:rFonts w:ascii="Arial" w:hAnsi="Arial" w:cs="Arial"/>
                <w:b/>
                <w:sz w:val="20"/>
                <w:szCs w:val="20"/>
              </w:rPr>
            </w:pPr>
            <w:r w:rsidRPr="007121B8">
              <w:rPr>
                <w:rFonts w:ascii="Arial" w:hAnsi="Arial" w:cs="Arial"/>
                <w:b/>
                <w:sz w:val="20"/>
                <w:szCs w:val="20"/>
              </w:rPr>
              <w:t>Non-employing</w:t>
            </w:r>
          </w:p>
        </w:tc>
        <w:tc>
          <w:tcPr>
            <w:tcW w:w="1369" w:type="dxa"/>
            <w:tcBorders>
              <w:top w:val="single" w:sz="12" w:space="0" w:color="auto"/>
              <w:bottom w:val="single" w:sz="12" w:space="0" w:color="auto"/>
            </w:tcBorders>
          </w:tcPr>
          <w:p w:rsidR="003C7A7D" w:rsidRPr="007121B8" w:rsidRDefault="003C7A7D" w:rsidP="003C7A7D">
            <w:pPr>
              <w:keepNext/>
              <w:spacing w:after="240"/>
              <w:jc w:val="center"/>
              <w:rPr>
                <w:rFonts w:ascii="Arial" w:hAnsi="Arial" w:cs="Arial"/>
                <w:b/>
                <w:sz w:val="20"/>
                <w:szCs w:val="20"/>
              </w:rPr>
            </w:pPr>
            <w:r w:rsidRPr="007121B8">
              <w:rPr>
                <w:rFonts w:ascii="Arial" w:hAnsi="Arial" w:cs="Arial"/>
                <w:b/>
                <w:sz w:val="20"/>
                <w:szCs w:val="20"/>
              </w:rPr>
              <w:t>Small</w:t>
            </w:r>
          </w:p>
          <w:p w:rsidR="003C7A7D" w:rsidRPr="007121B8" w:rsidRDefault="003C7A7D" w:rsidP="003C7A7D">
            <w:pPr>
              <w:keepNext/>
              <w:spacing w:after="240"/>
              <w:jc w:val="center"/>
              <w:rPr>
                <w:rFonts w:ascii="Arial" w:hAnsi="Arial" w:cs="Arial"/>
                <w:b/>
                <w:sz w:val="20"/>
                <w:szCs w:val="20"/>
              </w:rPr>
            </w:pPr>
            <w:r w:rsidRPr="007121B8">
              <w:rPr>
                <w:rFonts w:ascii="Arial" w:hAnsi="Arial" w:cs="Arial"/>
                <w:b/>
                <w:sz w:val="20"/>
                <w:szCs w:val="20"/>
              </w:rPr>
              <w:t>1-19 employees</w:t>
            </w:r>
          </w:p>
        </w:tc>
        <w:tc>
          <w:tcPr>
            <w:tcW w:w="1477" w:type="dxa"/>
            <w:tcBorders>
              <w:top w:val="single" w:sz="12" w:space="0" w:color="auto"/>
              <w:bottom w:val="single" w:sz="12" w:space="0" w:color="auto"/>
            </w:tcBorders>
          </w:tcPr>
          <w:p w:rsidR="003C7A7D" w:rsidRPr="007121B8" w:rsidRDefault="003C7A7D" w:rsidP="003C7A7D">
            <w:pPr>
              <w:keepNext/>
              <w:spacing w:after="240"/>
              <w:jc w:val="center"/>
              <w:rPr>
                <w:rFonts w:ascii="Arial" w:hAnsi="Arial" w:cs="Arial"/>
                <w:b/>
                <w:sz w:val="20"/>
                <w:szCs w:val="20"/>
              </w:rPr>
            </w:pPr>
            <w:r w:rsidRPr="007121B8">
              <w:rPr>
                <w:rFonts w:ascii="Arial" w:hAnsi="Arial" w:cs="Arial"/>
                <w:b/>
                <w:sz w:val="20"/>
                <w:szCs w:val="20"/>
              </w:rPr>
              <w:t>Medium</w:t>
            </w:r>
          </w:p>
          <w:p w:rsidR="003C7A7D" w:rsidRPr="007121B8" w:rsidRDefault="003C7A7D" w:rsidP="003C7A7D">
            <w:pPr>
              <w:keepNext/>
              <w:spacing w:after="240"/>
              <w:jc w:val="center"/>
              <w:rPr>
                <w:rFonts w:ascii="Arial" w:hAnsi="Arial" w:cs="Arial"/>
                <w:b/>
                <w:sz w:val="20"/>
                <w:szCs w:val="20"/>
              </w:rPr>
            </w:pPr>
            <w:r w:rsidRPr="007121B8">
              <w:rPr>
                <w:rFonts w:ascii="Arial" w:hAnsi="Arial" w:cs="Arial"/>
                <w:b/>
                <w:sz w:val="20"/>
                <w:szCs w:val="20"/>
              </w:rPr>
              <w:t>20-199 employees</w:t>
            </w:r>
          </w:p>
        </w:tc>
        <w:tc>
          <w:tcPr>
            <w:tcW w:w="1691" w:type="dxa"/>
            <w:tcBorders>
              <w:top w:val="single" w:sz="12" w:space="0" w:color="auto"/>
              <w:bottom w:val="single" w:sz="12" w:space="0" w:color="auto"/>
            </w:tcBorders>
          </w:tcPr>
          <w:p w:rsidR="003C7A7D" w:rsidRPr="007121B8" w:rsidRDefault="003C7A7D" w:rsidP="003C7A7D">
            <w:pPr>
              <w:keepNext/>
              <w:spacing w:after="240"/>
              <w:jc w:val="center"/>
              <w:rPr>
                <w:rFonts w:ascii="Arial" w:hAnsi="Arial" w:cs="Arial"/>
                <w:b/>
                <w:sz w:val="20"/>
                <w:szCs w:val="20"/>
              </w:rPr>
            </w:pPr>
            <w:r w:rsidRPr="007121B8">
              <w:rPr>
                <w:rFonts w:ascii="Arial" w:hAnsi="Arial" w:cs="Arial"/>
                <w:b/>
                <w:sz w:val="20"/>
                <w:szCs w:val="20"/>
              </w:rPr>
              <w:t>Large</w:t>
            </w:r>
          </w:p>
          <w:p w:rsidR="003C7A7D" w:rsidRPr="007121B8" w:rsidRDefault="003C7A7D" w:rsidP="003C7A7D">
            <w:pPr>
              <w:keepNext/>
              <w:spacing w:after="240"/>
              <w:jc w:val="center"/>
              <w:rPr>
                <w:rFonts w:ascii="Arial" w:hAnsi="Arial" w:cs="Arial"/>
                <w:b/>
                <w:sz w:val="20"/>
                <w:szCs w:val="20"/>
              </w:rPr>
            </w:pPr>
            <w:r w:rsidRPr="007121B8">
              <w:rPr>
                <w:rFonts w:ascii="Arial" w:hAnsi="Arial" w:cs="Arial"/>
                <w:b/>
                <w:sz w:val="20"/>
                <w:szCs w:val="20"/>
              </w:rPr>
              <w:t>200+ employees</w:t>
            </w:r>
          </w:p>
        </w:tc>
        <w:tc>
          <w:tcPr>
            <w:tcW w:w="1231" w:type="dxa"/>
            <w:tcBorders>
              <w:top w:val="single" w:sz="12" w:space="0" w:color="auto"/>
              <w:bottom w:val="single" w:sz="12" w:space="0" w:color="auto"/>
            </w:tcBorders>
          </w:tcPr>
          <w:p w:rsidR="003C7A7D" w:rsidRPr="007121B8" w:rsidRDefault="003C7A7D" w:rsidP="003C7A7D">
            <w:pPr>
              <w:keepNext/>
              <w:spacing w:after="240"/>
              <w:jc w:val="center"/>
              <w:rPr>
                <w:rFonts w:ascii="Arial" w:hAnsi="Arial" w:cs="Arial"/>
                <w:b/>
                <w:sz w:val="20"/>
                <w:szCs w:val="20"/>
              </w:rPr>
            </w:pPr>
            <w:r>
              <w:rPr>
                <w:rFonts w:ascii="Arial" w:hAnsi="Arial" w:cs="Arial"/>
                <w:b/>
                <w:sz w:val="20"/>
                <w:szCs w:val="20"/>
              </w:rPr>
              <w:t>Total</w:t>
            </w:r>
          </w:p>
        </w:tc>
      </w:tr>
      <w:tr w:rsidR="003C7A7D" w:rsidRPr="007121B8" w:rsidTr="003C7A7D">
        <w:trPr>
          <w:cantSplit/>
        </w:trPr>
        <w:tc>
          <w:tcPr>
            <w:tcW w:w="1985" w:type="dxa"/>
            <w:tcBorders>
              <w:top w:val="single" w:sz="12" w:space="0" w:color="auto"/>
            </w:tcBorders>
            <w:vAlign w:val="center"/>
          </w:tcPr>
          <w:p w:rsidR="003C7A7D" w:rsidRPr="007121B8" w:rsidRDefault="003C7A7D" w:rsidP="003C7A7D">
            <w:pPr>
              <w:keepNext/>
              <w:spacing w:after="240"/>
              <w:rPr>
                <w:rFonts w:ascii="Arial" w:hAnsi="Arial" w:cs="Arial"/>
                <w:b/>
                <w:sz w:val="20"/>
                <w:szCs w:val="20"/>
              </w:rPr>
            </w:pPr>
            <w:r w:rsidRPr="007121B8">
              <w:rPr>
                <w:rFonts w:ascii="Arial" w:hAnsi="Arial" w:cs="Arial"/>
                <w:b/>
                <w:sz w:val="20"/>
                <w:szCs w:val="20"/>
              </w:rPr>
              <w:t>Managing compliance testing</w:t>
            </w:r>
          </w:p>
        </w:tc>
        <w:tc>
          <w:tcPr>
            <w:tcW w:w="1276" w:type="dxa"/>
            <w:tcBorders>
              <w:top w:val="single" w:sz="12" w:space="0" w:color="auto"/>
            </w:tcBorders>
            <w:vAlign w:val="center"/>
          </w:tcPr>
          <w:p w:rsidR="003C7A7D" w:rsidRPr="007121B8" w:rsidRDefault="003C7A7D" w:rsidP="003C7A7D">
            <w:pPr>
              <w:keepNext/>
              <w:spacing w:after="240"/>
              <w:jc w:val="center"/>
              <w:rPr>
                <w:rFonts w:ascii="Arial" w:hAnsi="Arial" w:cs="Arial"/>
                <w:b/>
                <w:sz w:val="20"/>
                <w:szCs w:val="20"/>
              </w:rPr>
            </w:pPr>
          </w:p>
        </w:tc>
        <w:tc>
          <w:tcPr>
            <w:tcW w:w="1369" w:type="dxa"/>
            <w:tcBorders>
              <w:top w:val="single" w:sz="12" w:space="0" w:color="auto"/>
            </w:tcBorders>
            <w:vAlign w:val="center"/>
          </w:tcPr>
          <w:p w:rsidR="003C7A7D" w:rsidRPr="007121B8" w:rsidRDefault="003C7A7D" w:rsidP="003C7A7D">
            <w:pPr>
              <w:keepNext/>
              <w:spacing w:after="240"/>
              <w:jc w:val="center"/>
              <w:rPr>
                <w:rFonts w:ascii="Arial" w:hAnsi="Arial" w:cs="Arial"/>
                <w:b/>
                <w:sz w:val="20"/>
                <w:szCs w:val="20"/>
              </w:rPr>
            </w:pPr>
          </w:p>
        </w:tc>
        <w:tc>
          <w:tcPr>
            <w:tcW w:w="1477" w:type="dxa"/>
            <w:tcBorders>
              <w:top w:val="single" w:sz="12" w:space="0" w:color="auto"/>
            </w:tcBorders>
            <w:vAlign w:val="center"/>
          </w:tcPr>
          <w:p w:rsidR="003C7A7D" w:rsidRPr="007121B8" w:rsidRDefault="003C7A7D" w:rsidP="003C7A7D">
            <w:pPr>
              <w:keepNext/>
              <w:spacing w:after="240"/>
              <w:jc w:val="center"/>
              <w:rPr>
                <w:rFonts w:ascii="Arial" w:hAnsi="Arial" w:cs="Arial"/>
                <w:b/>
                <w:sz w:val="20"/>
                <w:szCs w:val="20"/>
              </w:rPr>
            </w:pPr>
          </w:p>
        </w:tc>
        <w:tc>
          <w:tcPr>
            <w:tcW w:w="1691" w:type="dxa"/>
            <w:tcBorders>
              <w:top w:val="single" w:sz="12" w:space="0" w:color="auto"/>
            </w:tcBorders>
            <w:vAlign w:val="center"/>
          </w:tcPr>
          <w:p w:rsidR="003C7A7D" w:rsidRPr="007121B8" w:rsidRDefault="003C7A7D" w:rsidP="003C7A7D">
            <w:pPr>
              <w:keepNext/>
              <w:spacing w:after="240"/>
              <w:jc w:val="center"/>
              <w:rPr>
                <w:rFonts w:ascii="Arial" w:hAnsi="Arial" w:cs="Arial"/>
                <w:b/>
                <w:sz w:val="20"/>
                <w:szCs w:val="20"/>
              </w:rPr>
            </w:pPr>
          </w:p>
        </w:tc>
        <w:tc>
          <w:tcPr>
            <w:tcW w:w="1231" w:type="dxa"/>
            <w:tcBorders>
              <w:top w:val="single" w:sz="12" w:space="0" w:color="auto"/>
            </w:tcBorders>
            <w:vAlign w:val="center"/>
          </w:tcPr>
          <w:p w:rsidR="003C7A7D" w:rsidRPr="007121B8" w:rsidRDefault="003C7A7D" w:rsidP="003C7A7D">
            <w:pPr>
              <w:keepNext/>
              <w:spacing w:after="240"/>
              <w:jc w:val="center"/>
              <w:rPr>
                <w:rFonts w:ascii="Arial" w:hAnsi="Arial" w:cs="Arial"/>
                <w:b/>
                <w:sz w:val="20"/>
                <w:szCs w:val="20"/>
              </w:rPr>
            </w:pPr>
          </w:p>
        </w:tc>
      </w:tr>
      <w:tr w:rsidR="003C7A7D" w:rsidRPr="007121B8" w:rsidTr="003C7A7D">
        <w:trPr>
          <w:cantSplit/>
        </w:trPr>
        <w:tc>
          <w:tcPr>
            <w:tcW w:w="1985" w:type="dxa"/>
            <w:vAlign w:val="center"/>
          </w:tcPr>
          <w:p w:rsidR="003C7A7D" w:rsidRPr="007121B8" w:rsidRDefault="003C7A7D" w:rsidP="003C7A7D">
            <w:pPr>
              <w:keepNext/>
              <w:spacing w:after="240"/>
              <w:rPr>
                <w:rFonts w:ascii="Arial" w:hAnsi="Arial" w:cs="Arial"/>
                <w:sz w:val="20"/>
                <w:szCs w:val="20"/>
              </w:rPr>
            </w:pPr>
            <w:r w:rsidRPr="007121B8">
              <w:rPr>
                <w:rFonts w:ascii="Arial" w:hAnsi="Arial" w:cs="Arial"/>
                <w:sz w:val="20"/>
                <w:szCs w:val="20"/>
              </w:rPr>
              <w:t>Minimum estimated additional cost</w:t>
            </w:r>
          </w:p>
        </w:tc>
        <w:tc>
          <w:tcPr>
            <w:tcW w:w="1276"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0.</w:t>
            </w:r>
            <w:r>
              <w:rPr>
                <w:rFonts w:ascii="Arial" w:hAnsi="Arial" w:cs="Arial"/>
                <w:sz w:val="20"/>
                <w:szCs w:val="20"/>
              </w:rPr>
              <w:t>8</w:t>
            </w:r>
          </w:p>
        </w:tc>
        <w:tc>
          <w:tcPr>
            <w:tcW w:w="1369" w:type="dxa"/>
            <w:vAlign w:val="center"/>
          </w:tcPr>
          <w:p w:rsidR="003C7A7D" w:rsidRPr="007121B8" w:rsidRDefault="003C7A7D" w:rsidP="003C7A7D">
            <w:pPr>
              <w:keepNext/>
              <w:spacing w:after="240"/>
              <w:jc w:val="center"/>
              <w:rPr>
                <w:rFonts w:ascii="Arial" w:hAnsi="Arial" w:cs="Arial"/>
                <w:sz w:val="20"/>
                <w:szCs w:val="20"/>
              </w:rPr>
            </w:pPr>
            <w:r>
              <w:rPr>
                <w:rFonts w:ascii="Arial" w:hAnsi="Arial" w:cs="Arial"/>
                <w:sz w:val="20"/>
                <w:szCs w:val="20"/>
              </w:rPr>
              <w:t>3.1</w:t>
            </w:r>
          </w:p>
        </w:tc>
        <w:tc>
          <w:tcPr>
            <w:tcW w:w="1477" w:type="dxa"/>
            <w:vAlign w:val="center"/>
          </w:tcPr>
          <w:p w:rsidR="003C7A7D" w:rsidRPr="007121B8" w:rsidRDefault="003C7A7D" w:rsidP="003C7A7D">
            <w:pPr>
              <w:keepNext/>
              <w:spacing w:after="240"/>
              <w:jc w:val="center"/>
              <w:rPr>
                <w:rFonts w:ascii="Arial" w:hAnsi="Arial" w:cs="Arial"/>
                <w:sz w:val="20"/>
                <w:szCs w:val="20"/>
              </w:rPr>
            </w:pPr>
            <w:r>
              <w:rPr>
                <w:rFonts w:ascii="Arial" w:hAnsi="Arial" w:cs="Arial"/>
                <w:sz w:val="20"/>
                <w:szCs w:val="20"/>
              </w:rPr>
              <w:t>0.5</w:t>
            </w:r>
          </w:p>
        </w:tc>
        <w:tc>
          <w:tcPr>
            <w:tcW w:w="1691" w:type="dxa"/>
            <w:vAlign w:val="center"/>
          </w:tcPr>
          <w:p w:rsidR="003C7A7D" w:rsidRPr="007121B8" w:rsidRDefault="003C7A7D" w:rsidP="003C7A7D">
            <w:pPr>
              <w:keepNext/>
              <w:spacing w:after="240"/>
              <w:jc w:val="center"/>
              <w:rPr>
                <w:rFonts w:ascii="Arial" w:hAnsi="Arial" w:cs="Arial"/>
                <w:sz w:val="20"/>
                <w:szCs w:val="20"/>
              </w:rPr>
            </w:pPr>
            <w:r>
              <w:rPr>
                <w:rFonts w:ascii="Arial" w:hAnsi="Arial" w:cs="Arial"/>
                <w:sz w:val="20"/>
                <w:szCs w:val="20"/>
              </w:rPr>
              <w:t>0.5</w:t>
            </w:r>
          </w:p>
        </w:tc>
        <w:tc>
          <w:tcPr>
            <w:tcW w:w="1231" w:type="dxa"/>
            <w:vAlign w:val="center"/>
          </w:tcPr>
          <w:p w:rsidR="003C7A7D" w:rsidRPr="007121B8" w:rsidRDefault="003C7A7D" w:rsidP="003C7A7D">
            <w:pPr>
              <w:keepNext/>
              <w:spacing w:after="240"/>
              <w:jc w:val="center"/>
              <w:rPr>
                <w:rFonts w:ascii="Arial" w:hAnsi="Arial" w:cs="Arial"/>
                <w:sz w:val="20"/>
                <w:szCs w:val="20"/>
              </w:rPr>
            </w:pPr>
            <w:r>
              <w:rPr>
                <w:rFonts w:ascii="Arial" w:hAnsi="Arial" w:cs="Arial"/>
                <w:sz w:val="20"/>
                <w:szCs w:val="20"/>
              </w:rPr>
              <w:t>4.9</w:t>
            </w:r>
          </w:p>
        </w:tc>
      </w:tr>
      <w:tr w:rsidR="003C7A7D" w:rsidRPr="007121B8" w:rsidTr="003C7A7D">
        <w:trPr>
          <w:cantSplit/>
        </w:trPr>
        <w:tc>
          <w:tcPr>
            <w:tcW w:w="1985" w:type="dxa"/>
            <w:vAlign w:val="center"/>
          </w:tcPr>
          <w:p w:rsidR="003C7A7D" w:rsidRPr="007121B8" w:rsidRDefault="003C7A7D" w:rsidP="003C7A7D">
            <w:pPr>
              <w:keepNext/>
              <w:spacing w:after="240"/>
              <w:rPr>
                <w:rFonts w:ascii="Arial" w:hAnsi="Arial" w:cs="Arial"/>
                <w:sz w:val="20"/>
                <w:szCs w:val="20"/>
              </w:rPr>
            </w:pPr>
            <w:r w:rsidRPr="007121B8">
              <w:rPr>
                <w:rFonts w:ascii="Arial" w:hAnsi="Arial" w:cs="Arial"/>
                <w:sz w:val="20"/>
                <w:szCs w:val="20"/>
              </w:rPr>
              <w:t>Maximum estimated additional costs</w:t>
            </w:r>
          </w:p>
        </w:tc>
        <w:tc>
          <w:tcPr>
            <w:tcW w:w="1276" w:type="dxa"/>
            <w:vAlign w:val="center"/>
          </w:tcPr>
          <w:p w:rsidR="003C7A7D" w:rsidRPr="007121B8" w:rsidRDefault="003C7A7D" w:rsidP="003C7A7D">
            <w:pPr>
              <w:keepNext/>
              <w:spacing w:after="240"/>
              <w:jc w:val="center"/>
              <w:rPr>
                <w:rFonts w:ascii="Arial" w:hAnsi="Arial" w:cs="Arial"/>
                <w:sz w:val="20"/>
                <w:szCs w:val="20"/>
              </w:rPr>
            </w:pPr>
            <w:r>
              <w:rPr>
                <w:rFonts w:ascii="Arial" w:hAnsi="Arial" w:cs="Arial"/>
                <w:sz w:val="20"/>
                <w:szCs w:val="20"/>
              </w:rPr>
              <w:t>2.5</w:t>
            </w:r>
          </w:p>
        </w:tc>
        <w:tc>
          <w:tcPr>
            <w:tcW w:w="1369" w:type="dxa"/>
            <w:vAlign w:val="center"/>
          </w:tcPr>
          <w:p w:rsidR="003C7A7D" w:rsidRPr="007121B8" w:rsidRDefault="003C7A7D" w:rsidP="003C7A7D">
            <w:pPr>
              <w:keepNext/>
              <w:spacing w:after="240"/>
              <w:jc w:val="center"/>
              <w:rPr>
                <w:rFonts w:ascii="Arial" w:hAnsi="Arial" w:cs="Arial"/>
                <w:sz w:val="20"/>
                <w:szCs w:val="20"/>
              </w:rPr>
            </w:pPr>
            <w:r>
              <w:rPr>
                <w:rFonts w:ascii="Arial" w:hAnsi="Arial" w:cs="Arial"/>
                <w:sz w:val="20"/>
                <w:szCs w:val="20"/>
              </w:rPr>
              <w:t>10.2</w:t>
            </w:r>
          </w:p>
        </w:tc>
        <w:tc>
          <w:tcPr>
            <w:tcW w:w="1477" w:type="dxa"/>
            <w:vAlign w:val="center"/>
          </w:tcPr>
          <w:p w:rsidR="003C7A7D" w:rsidRPr="007121B8" w:rsidRDefault="003C7A7D" w:rsidP="003C7A7D">
            <w:pPr>
              <w:keepNext/>
              <w:spacing w:after="240"/>
              <w:jc w:val="center"/>
              <w:rPr>
                <w:rFonts w:ascii="Arial" w:hAnsi="Arial" w:cs="Arial"/>
                <w:sz w:val="20"/>
                <w:szCs w:val="20"/>
              </w:rPr>
            </w:pPr>
            <w:r>
              <w:rPr>
                <w:rFonts w:ascii="Arial" w:hAnsi="Arial" w:cs="Arial"/>
                <w:sz w:val="20"/>
                <w:szCs w:val="20"/>
              </w:rPr>
              <w:t>2.7</w:t>
            </w:r>
          </w:p>
        </w:tc>
        <w:tc>
          <w:tcPr>
            <w:tcW w:w="1691" w:type="dxa"/>
            <w:vAlign w:val="center"/>
          </w:tcPr>
          <w:p w:rsidR="003C7A7D" w:rsidRPr="007121B8" w:rsidRDefault="003C7A7D" w:rsidP="003C7A7D">
            <w:pPr>
              <w:keepNext/>
              <w:spacing w:after="240"/>
              <w:jc w:val="center"/>
              <w:rPr>
                <w:rFonts w:ascii="Arial" w:hAnsi="Arial" w:cs="Arial"/>
                <w:sz w:val="20"/>
                <w:szCs w:val="20"/>
              </w:rPr>
            </w:pPr>
            <w:r>
              <w:rPr>
                <w:rFonts w:ascii="Arial" w:hAnsi="Arial" w:cs="Arial"/>
                <w:sz w:val="20"/>
                <w:szCs w:val="20"/>
              </w:rPr>
              <w:t>2.0</w:t>
            </w:r>
          </w:p>
        </w:tc>
        <w:tc>
          <w:tcPr>
            <w:tcW w:w="1231" w:type="dxa"/>
            <w:vAlign w:val="center"/>
          </w:tcPr>
          <w:p w:rsidR="003C7A7D" w:rsidRPr="007121B8" w:rsidRDefault="003C7A7D" w:rsidP="003C7A7D">
            <w:pPr>
              <w:keepNext/>
              <w:spacing w:after="240"/>
              <w:jc w:val="center"/>
              <w:rPr>
                <w:rFonts w:ascii="Arial" w:hAnsi="Arial" w:cs="Arial"/>
                <w:sz w:val="20"/>
                <w:szCs w:val="20"/>
              </w:rPr>
            </w:pPr>
            <w:r>
              <w:rPr>
                <w:rFonts w:ascii="Arial" w:hAnsi="Arial" w:cs="Arial"/>
                <w:sz w:val="20"/>
                <w:szCs w:val="20"/>
              </w:rPr>
              <w:t>17.4</w:t>
            </w:r>
          </w:p>
        </w:tc>
      </w:tr>
      <w:tr w:rsidR="003C7A7D" w:rsidRPr="007121B8" w:rsidTr="003C7A7D">
        <w:trPr>
          <w:cantSplit/>
        </w:trPr>
        <w:tc>
          <w:tcPr>
            <w:tcW w:w="1985" w:type="dxa"/>
            <w:vAlign w:val="center"/>
          </w:tcPr>
          <w:p w:rsidR="003C7A7D" w:rsidRPr="007121B8" w:rsidRDefault="003C7A7D" w:rsidP="003C7A7D">
            <w:pPr>
              <w:keepNext/>
              <w:spacing w:after="240"/>
              <w:rPr>
                <w:rFonts w:ascii="Arial" w:hAnsi="Arial" w:cs="Arial"/>
                <w:b/>
                <w:sz w:val="20"/>
                <w:szCs w:val="20"/>
              </w:rPr>
            </w:pPr>
            <w:r w:rsidRPr="007121B8">
              <w:rPr>
                <w:rFonts w:ascii="Arial" w:hAnsi="Arial" w:cs="Arial"/>
                <w:b/>
                <w:sz w:val="20"/>
                <w:szCs w:val="20"/>
              </w:rPr>
              <w:t>Record keeping</w:t>
            </w:r>
          </w:p>
        </w:tc>
        <w:tc>
          <w:tcPr>
            <w:tcW w:w="1276" w:type="dxa"/>
            <w:vAlign w:val="center"/>
          </w:tcPr>
          <w:p w:rsidR="003C7A7D" w:rsidRPr="007121B8" w:rsidRDefault="003C7A7D" w:rsidP="003C7A7D">
            <w:pPr>
              <w:keepNext/>
              <w:spacing w:after="240"/>
              <w:jc w:val="center"/>
              <w:rPr>
                <w:rFonts w:ascii="Arial" w:hAnsi="Arial" w:cs="Arial"/>
                <w:b/>
                <w:sz w:val="20"/>
                <w:szCs w:val="20"/>
              </w:rPr>
            </w:pPr>
          </w:p>
        </w:tc>
        <w:tc>
          <w:tcPr>
            <w:tcW w:w="1369" w:type="dxa"/>
            <w:vAlign w:val="center"/>
          </w:tcPr>
          <w:p w:rsidR="003C7A7D" w:rsidRPr="007121B8" w:rsidRDefault="003C7A7D" w:rsidP="003C7A7D">
            <w:pPr>
              <w:keepNext/>
              <w:spacing w:after="240"/>
              <w:jc w:val="center"/>
              <w:rPr>
                <w:rFonts w:ascii="Arial" w:hAnsi="Arial" w:cs="Arial"/>
                <w:b/>
                <w:sz w:val="20"/>
                <w:szCs w:val="20"/>
              </w:rPr>
            </w:pPr>
          </w:p>
        </w:tc>
        <w:tc>
          <w:tcPr>
            <w:tcW w:w="1477" w:type="dxa"/>
            <w:vAlign w:val="center"/>
          </w:tcPr>
          <w:p w:rsidR="003C7A7D" w:rsidRPr="007121B8" w:rsidRDefault="003C7A7D" w:rsidP="003C7A7D">
            <w:pPr>
              <w:keepNext/>
              <w:spacing w:after="240"/>
              <w:jc w:val="center"/>
              <w:rPr>
                <w:rFonts w:ascii="Arial" w:hAnsi="Arial" w:cs="Arial"/>
                <w:b/>
                <w:sz w:val="20"/>
                <w:szCs w:val="20"/>
              </w:rPr>
            </w:pPr>
          </w:p>
        </w:tc>
        <w:tc>
          <w:tcPr>
            <w:tcW w:w="1691" w:type="dxa"/>
            <w:vAlign w:val="center"/>
          </w:tcPr>
          <w:p w:rsidR="003C7A7D" w:rsidRPr="007121B8" w:rsidRDefault="003C7A7D" w:rsidP="003C7A7D">
            <w:pPr>
              <w:keepNext/>
              <w:spacing w:after="240"/>
              <w:jc w:val="center"/>
              <w:rPr>
                <w:rFonts w:ascii="Arial" w:hAnsi="Arial" w:cs="Arial"/>
                <w:b/>
                <w:sz w:val="20"/>
                <w:szCs w:val="20"/>
              </w:rPr>
            </w:pPr>
          </w:p>
        </w:tc>
        <w:tc>
          <w:tcPr>
            <w:tcW w:w="1231" w:type="dxa"/>
            <w:vAlign w:val="center"/>
          </w:tcPr>
          <w:p w:rsidR="003C7A7D" w:rsidRPr="007121B8" w:rsidRDefault="003C7A7D" w:rsidP="003C7A7D">
            <w:pPr>
              <w:keepNext/>
              <w:spacing w:after="240"/>
              <w:jc w:val="center"/>
              <w:rPr>
                <w:rFonts w:ascii="Arial" w:hAnsi="Arial" w:cs="Arial"/>
                <w:b/>
                <w:sz w:val="20"/>
                <w:szCs w:val="20"/>
              </w:rPr>
            </w:pPr>
          </w:p>
        </w:tc>
      </w:tr>
      <w:tr w:rsidR="003C7A7D" w:rsidRPr="007121B8" w:rsidTr="003C7A7D">
        <w:trPr>
          <w:cantSplit/>
        </w:trPr>
        <w:tc>
          <w:tcPr>
            <w:tcW w:w="1985" w:type="dxa"/>
            <w:vAlign w:val="center"/>
          </w:tcPr>
          <w:p w:rsidR="003C7A7D" w:rsidRPr="007121B8" w:rsidRDefault="003C7A7D" w:rsidP="003C7A7D">
            <w:pPr>
              <w:keepNext/>
              <w:spacing w:after="240"/>
              <w:rPr>
                <w:rFonts w:ascii="Arial" w:hAnsi="Arial" w:cs="Arial"/>
                <w:b/>
                <w:sz w:val="20"/>
                <w:szCs w:val="20"/>
              </w:rPr>
            </w:pPr>
            <w:r w:rsidRPr="007121B8">
              <w:rPr>
                <w:rFonts w:ascii="Arial" w:hAnsi="Arial" w:cs="Arial"/>
                <w:sz w:val="20"/>
                <w:szCs w:val="20"/>
              </w:rPr>
              <w:t>Minimum estimated additional cost</w:t>
            </w:r>
          </w:p>
        </w:tc>
        <w:tc>
          <w:tcPr>
            <w:tcW w:w="1276"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0.4</w:t>
            </w:r>
          </w:p>
        </w:tc>
        <w:tc>
          <w:tcPr>
            <w:tcW w:w="1369"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1.5</w:t>
            </w:r>
          </w:p>
        </w:tc>
        <w:tc>
          <w:tcPr>
            <w:tcW w:w="1477"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0.2</w:t>
            </w:r>
          </w:p>
        </w:tc>
        <w:tc>
          <w:tcPr>
            <w:tcW w:w="1691"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0.3</w:t>
            </w:r>
          </w:p>
        </w:tc>
        <w:tc>
          <w:tcPr>
            <w:tcW w:w="1231"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2.5</w:t>
            </w:r>
          </w:p>
        </w:tc>
      </w:tr>
      <w:tr w:rsidR="003C7A7D" w:rsidRPr="007121B8" w:rsidTr="003C7A7D">
        <w:trPr>
          <w:cantSplit/>
        </w:trPr>
        <w:tc>
          <w:tcPr>
            <w:tcW w:w="1985" w:type="dxa"/>
            <w:vAlign w:val="center"/>
          </w:tcPr>
          <w:p w:rsidR="003C7A7D" w:rsidRPr="007121B8" w:rsidRDefault="003C7A7D" w:rsidP="003C7A7D">
            <w:pPr>
              <w:keepNext/>
              <w:spacing w:after="240"/>
              <w:rPr>
                <w:rFonts w:ascii="Arial" w:hAnsi="Arial" w:cs="Arial"/>
                <w:b/>
                <w:sz w:val="20"/>
                <w:szCs w:val="20"/>
              </w:rPr>
            </w:pPr>
            <w:r w:rsidRPr="007121B8">
              <w:rPr>
                <w:rFonts w:ascii="Arial" w:hAnsi="Arial" w:cs="Arial"/>
                <w:sz w:val="20"/>
                <w:szCs w:val="20"/>
              </w:rPr>
              <w:t>Maximum estimated additional cost</w:t>
            </w:r>
          </w:p>
        </w:tc>
        <w:tc>
          <w:tcPr>
            <w:tcW w:w="1276"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1.3</w:t>
            </w:r>
          </w:p>
        </w:tc>
        <w:tc>
          <w:tcPr>
            <w:tcW w:w="1369"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5.1</w:t>
            </w:r>
          </w:p>
        </w:tc>
        <w:tc>
          <w:tcPr>
            <w:tcW w:w="1477"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1.3</w:t>
            </w:r>
          </w:p>
        </w:tc>
        <w:tc>
          <w:tcPr>
            <w:tcW w:w="1691"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1.0</w:t>
            </w:r>
          </w:p>
        </w:tc>
        <w:tc>
          <w:tcPr>
            <w:tcW w:w="1231"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8.7</w:t>
            </w:r>
          </w:p>
        </w:tc>
      </w:tr>
      <w:tr w:rsidR="003C7A7D" w:rsidRPr="007121B8" w:rsidTr="003C7A7D">
        <w:trPr>
          <w:cantSplit/>
          <w:trHeight w:val="342"/>
        </w:trPr>
        <w:tc>
          <w:tcPr>
            <w:tcW w:w="1985" w:type="dxa"/>
            <w:vAlign w:val="center"/>
          </w:tcPr>
          <w:p w:rsidR="003C7A7D" w:rsidRPr="007121B8" w:rsidRDefault="003C7A7D" w:rsidP="003C7A7D">
            <w:pPr>
              <w:keepNext/>
              <w:spacing w:after="240"/>
              <w:rPr>
                <w:rFonts w:ascii="Arial" w:hAnsi="Arial" w:cs="Arial"/>
                <w:b/>
                <w:sz w:val="20"/>
                <w:szCs w:val="20"/>
              </w:rPr>
            </w:pPr>
            <w:r w:rsidRPr="007121B8">
              <w:rPr>
                <w:rFonts w:ascii="Arial" w:hAnsi="Arial" w:cs="Arial"/>
                <w:b/>
                <w:sz w:val="20"/>
                <w:szCs w:val="20"/>
              </w:rPr>
              <w:t>Internal reporting</w:t>
            </w:r>
          </w:p>
        </w:tc>
        <w:tc>
          <w:tcPr>
            <w:tcW w:w="1276" w:type="dxa"/>
            <w:vAlign w:val="center"/>
          </w:tcPr>
          <w:p w:rsidR="003C7A7D" w:rsidRPr="007121B8" w:rsidRDefault="003C7A7D" w:rsidP="003C7A7D">
            <w:pPr>
              <w:keepNext/>
              <w:spacing w:after="240"/>
              <w:jc w:val="center"/>
              <w:rPr>
                <w:rFonts w:ascii="Arial" w:hAnsi="Arial" w:cs="Arial"/>
                <w:b/>
                <w:sz w:val="20"/>
                <w:szCs w:val="20"/>
              </w:rPr>
            </w:pPr>
          </w:p>
        </w:tc>
        <w:tc>
          <w:tcPr>
            <w:tcW w:w="1369" w:type="dxa"/>
            <w:vAlign w:val="center"/>
          </w:tcPr>
          <w:p w:rsidR="003C7A7D" w:rsidRPr="007121B8" w:rsidRDefault="003C7A7D" w:rsidP="003C7A7D">
            <w:pPr>
              <w:keepNext/>
              <w:spacing w:after="240"/>
              <w:jc w:val="center"/>
              <w:rPr>
                <w:rFonts w:ascii="Arial" w:hAnsi="Arial" w:cs="Arial"/>
                <w:b/>
                <w:sz w:val="20"/>
                <w:szCs w:val="20"/>
              </w:rPr>
            </w:pPr>
          </w:p>
        </w:tc>
        <w:tc>
          <w:tcPr>
            <w:tcW w:w="1477" w:type="dxa"/>
            <w:vAlign w:val="center"/>
          </w:tcPr>
          <w:p w:rsidR="003C7A7D" w:rsidRPr="007121B8" w:rsidRDefault="003C7A7D" w:rsidP="003C7A7D">
            <w:pPr>
              <w:keepNext/>
              <w:spacing w:after="240"/>
              <w:jc w:val="center"/>
              <w:rPr>
                <w:rFonts w:ascii="Arial" w:hAnsi="Arial" w:cs="Arial"/>
                <w:b/>
                <w:sz w:val="20"/>
                <w:szCs w:val="20"/>
              </w:rPr>
            </w:pPr>
          </w:p>
        </w:tc>
        <w:tc>
          <w:tcPr>
            <w:tcW w:w="1691" w:type="dxa"/>
            <w:vAlign w:val="center"/>
          </w:tcPr>
          <w:p w:rsidR="003C7A7D" w:rsidRPr="007121B8" w:rsidRDefault="003C7A7D" w:rsidP="003C7A7D">
            <w:pPr>
              <w:keepNext/>
              <w:spacing w:after="240"/>
              <w:jc w:val="center"/>
              <w:rPr>
                <w:rFonts w:ascii="Arial" w:hAnsi="Arial" w:cs="Arial"/>
                <w:b/>
                <w:sz w:val="20"/>
                <w:szCs w:val="20"/>
              </w:rPr>
            </w:pPr>
          </w:p>
        </w:tc>
        <w:tc>
          <w:tcPr>
            <w:tcW w:w="1231" w:type="dxa"/>
            <w:vAlign w:val="center"/>
          </w:tcPr>
          <w:p w:rsidR="003C7A7D" w:rsidRPr="007121B8" w:rsidRDefault="003C7A7D" w:rsidP="003C7A7D">
            <w:pPr>
              <w:keepNext/>
              <w:spacing w:after="240"/>
              <w:jc w:val="center"/>
              <w:rPr>
                <w:rFonts w:ascii="Arial" w:hAnsi="Arial" w:cs="Arial"/>
                <w:b/>
                <w:sz w:val="20"/>
                <w:szCs w:val="20"/>
              </w:rPr>
            </w:pPr>
          </w:p>
        </w:tc>
      </w:tr>
      <w:tr w:rsidR="003C7A7D" w:rsidRPr="007121B8" w:rsidTr="003C7A7D">
        <w:trPr>
          <w:cantSplit/>
        </w:trPr>
        <w:tc>
          <w:tcPr>
            <w:tcW w:w="1985" w:type="dxa"/>
            <w:vAlign w:val="center"/>
          </w:tcPr>
          <w:p w:rsidR="003C7A7D" w:rsidRPr="007121B8" w:rsidRDefault="003C7A7D" w:rsidP="003C7A7D">
            <w:pPr>
              <w:keepNext/>
              <w:spacing w:after="240"/>
              <w:rPr>
                <w:rFonts w:ascii="Arial" w:hAnsi="Arial" w:cs="Arial"/>
                <w:sz w:val="20"/>
                <w:szCs w:val="20"/>
              </w:rPr>
            </w:pPr>
            <w:r w:rsidRPr="007121B8">
              <w:rPr>
                <w:rFonts w:ascii="Arial" w:hAnsi="Arial" w:cs="Arial"/>
                <w:sz w:val="20"/>
                <w:szCs w:val="20"/>
              </w:rPr>
              <w:t>Minimum estimated additional cost</w:t>
            </w:r>
          </w:p>
        </w:tc>
        <w:tc>
          <w:tcPr>
            <w:tcW w:w="1276"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0.1</w:t>
            </w:r>
          </w:p>
        </w:tc>
        <w:tc>
          <w:tcPr>
            <w:tcW w:w="1369"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0.5</w:t>
            </w:r>
          </w:p>
        </w:tc>
        <w:tc>
          <w:tcPr>
            <w:tcW w:w="1477"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0.1</w:t>
            </w:r>
          </w:p>
        </w:tc>
        <w:tc>
          <w:tcPr>
            <w:tcW w:w="1691"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0.1</w:t>
            </w:r>
          </w:p>
        </w:tc>
        <w:tc>
          <w:tcPr>
            <w:tcW w:w="1231"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0.8</w:t>
            </w:r>
          </w:p>
        </w:tc>
      </w:tr>
      <w:tr w:rsidR="003C7A7D" w:rsidRPr="007121B8" w:rsidTr="003C7A7D">
        <w:trPr>
          <w:cantSplit/>
        </w:trPr>
        <w:tc>
          <w:tcPr>
            <w:tcW w:w="1985" w:type="dxa"/>
            <w:vAlign w:val="center"/>
          </w:tcPr>
          <w:p w:rsidR="003C7A7D" w:rsidRPr="007121B8" w:rsidRDefault="003C7A7D" w:rsidP="003C7A7D">
            <w:pPr>
              <w:keepNext/>
              <w:spacing w:after="240"/>
              <w:rPr>
                <w:rFonts w:ascii="Arial" w:hAnsi="Arial" w:cs="Arial"/>
                <w:sz w:val="20"/>
                <w:szCs w:val="20"/>
              </w:rPr>
            </w:pPr>
            <w:r w:rsidRPr="007121B8">
              <w:rPr>
                <w:rFonts w:ascii="Arial" w:hAnsi="Arial" w:cs="Arial"/>
                <w:sz w:val="20"/>
                <w:szCs w:val="20"/>
              </w:rPr>
              <w:t>Maximum estimated additional cost</w:t>
            </w:r>
          </w:p>
        </w:tc>
        <w:tc>
          <w:tcPr>
            <w:tcW w:w="1276"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0.4</w:t>
            </w:r>
          </w:p>
        </w:tc>
        <w:tc>
          <w:tcPr>
            <w:tcW w:w="1369"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1.7</w:t>
            </w:r>
          </w:p>
        </w:tc>
        <w:tc>
          <w:tcPr>
            <w:tcW w:w="1477"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0.4</w:t>
            </w:r>
          </w:p>
        </w:tc>
        <w:tc>
          <w:tcPr>
            <w:tcW w:w="1691"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0.3</w:t>
            </w:r>
          </w:p>
        </w:tc>
        <w:tc>
          <w:tcPr>
            <w:tcW w:w="1231" w:type="dxa"/>
            <w:vAlign w:val="center"/>
          </w:tcPr>
          <w:p w:rsidR="003C7A7D" w:rsidRPr="007121B8" w:rsidRDefault="003C7A7D" w:rsidP="003C7A7D">
            <w:pPr>
              <w:keepNext/>
              <w:spacing w:after="240"/>
              <w:jc w:val="center"/>
              <w:rPr>
                <w:rFonts w:ascii="Arial" w:hAnsi="Arial" w:cs="Arial"/>
                <w:sz w:val="20"/>
                <w:szCs w:val="20"/>
              </w:rPr>
            </w:pPr>
            <w:r w:rsidRPr="007121B8">
              <w:rPr>
                <w:rFonts w:ascii="Arial" w:hAnsi="Arial" w:cs="Arial"/>
                <w:sz w:val="20"/>
                <w:szCs w:val="20"/>
              </w:rPr>
              <w:t>2.9</w:t>
            </w:r>
          </w:p>
        </w:tc>
      </w:tr>
      <w:tr w:rsidR="003C7A7D" w:rsidRPr="007121B8" w:rsidTr="003C7A7D">
        <w:trPr>
          <w:cantSplit/>
        </w:trPr>
        <w:tc>
          <w:tcPr>
            <w:tcW w:w="1985" w:type="dxa"/>
            <w:vAlign w:val="center"/>
          </w:tcPr>
          <w:p w:rsidR="003C7A7D" w:rsidRPr="007121B8" w:rsidRDefault="003C7A7D" w:rsidP="003C7A7D">
            <w:pPr>
              <w:keepNext/>
              <w:spacing w:after="240"/>
              <w:rPr>
                <w:rFonts w:ascii="Arial" w:hAnsi="Arial" w:cs="Arial"/>
                <w:b/>
                <w:sz w:val="20"/>
                <w:szCs w:val="20"/>
              </w:rPr>
            </w:pPr>
            <w:r w:rsidRPr="007121B8">
              <w:rPr>
                <w:rFonts w:ascii="Arial" w:hAnsi="Arial" w:cs="Arial"/>
                <w:b/>
                <w:sz w:val="20"/>
                <w:szCs w:val="20"/>
              </w:rPr>
              <w:t>Total minimum estimated additional administrative costs</w:t>
            </w:r>
          </w:p>
        </w:tc>
        <w:tc>
          <w:tcPr>
            <w:tcW w:w="1276" w:type="dxa"/>
            <w:vAlign w:val="center"/>
          </w:tcPr>
          <w:p w:rsidR="003C7A7D" w:rsidRPr="007121B8" w:rsidRDefault="003C7A7D" w:rsidP="003C7A7D">
            <w:pPr>
              <w:keepNext/>
              <w:spacing w:after="240"/>
              <w:jc w:val="center"/>
              <w:rPr>
                <w:rFonts w:ascii="Arial" w:hAnsi="Arial" w:cs="Arial"/>
                <w:b/>
                <w:sz w:val="20"/>
                <w:szCs w:val="20"/>
              </w:rPr>
            </w:pPr>
            <w:r>
              <w:rPr>
                <w:rFonts w:ascii="Arial" w:hAnsi="Arial" w:cs="Arial"/>
                <w:b/>
                <w:sz w:val="20"/>
                <w:szCs w:val="20"/>
              </w:rPr>
              <w:t>1.4</w:t>
            </w:r>
          </w:p>
        </w:tc>
        <w:tc>
          <w:tcPr>
            <w:tcW w:w="1369" w:type="dxa"/>
            <w:vAlign w:val="center"/>
          </w:tcPr>
          <w:p w:rsidR="003C7A7D" w:rsidRPr="007121B8" w:rsidRDefault="003C7A7D" w:rsidP="003C7A7D">
            <w:pPr>
              <w:keepNext/>
              <w:spacing w:after="240"/>
              <w:jc w:val="center"/>
              <w:rPr>
                <w:rFonts w:ascii="Arial" w:hAnsi="Arial" w:cs="Arial"/>
                <w:b/>
                <w:sz w:val="20"/>
                <w:szCs w:val="20"/>
              </w:rPr>
            </w:pPr>
            <w:r>
              <w:rPr>
                <w:rFonts w:ascii="Arial" w:hAnsi="Arial" w:cs="Arial"/>
                <w:b/>
                <w:sz w:val="20"/>
                <w:szCs w:val="20"/>
              </w:rPr>
              <w:t>5.1</w:t>
            </w:r>
          </w:p>
        </w:tc>
        <w:tc>
          <w:tcPr>
            <w:tcW w:w="1477" w:type="dxa"/>
            <w:vAlign w:val="center"/>
          </w:tcPr>
          <w:p w:rsidR="003C7A7D" w:rsidRPr="007121B8" w:rsidRDefault="003C7A7D" w:rsidP="003C7A7D">
            <w:pPr>
              <w:keepNext/>
              <w:spacing w:after="240"/>
              <w:jc w:val="center"/>
              <w:rPr>
                <w:rFonts w:ascii="Arial" w:hAnsi="Arial" w:cs="Arial"/>
                <w:b/>
                <w:sz w:val="20"/>
                <w:szCs w:val="20"/>
              </w:rPr>
            </w:pPr>
            <w:r>
              <w:rPr>
                <w:rFonts w:ascii="Arial" w:hAnsi="Arial" w:cs="Arial"/>
                <w:b/>
                <w:sz w:val="20"/>
                <w:szCs w:val="20"/>
              </w:rPr>
              <w:t>0.8</w:t>
            </w:r>
          </w:p>
        </w:tc>
        <w:tc>
          <w:tcPr>
            <w:tcW w:w="1691" w:type="dxa"/>
            <w:vAlign w:val="center"/>
          </w:tcPr>
          <w:p w:rsidR="003C7A7D" w:rsidRPr="007121B8" w:rsidRDefault="003C7A7D" w:rsidP="003C7A7D">
            <w:pPr>
              <w:keepNext/>
              <w:spacing w:after="240"/>
              <w:jc w:val="center"/>
              <w:rPr>
                <w:rFonts w:ascii="Arial" w:hAnsi="Arial" w:cs="Arial"/>
                <w:b/>
                <w:sz w:val="20"/>
                <w:szCs w:val="20"/>
              </w:rPr>
            </w:pPr>
            <w:r>
              <w:rPr>
                <w:rFonts w:ascii="Arial" w:hAnsi="Arial" w:cs="Arial"/>
                <w:b/>
                <w:sz w:val="20"/>
                <w:szCs w:val="20"/>
              </w:rPr>
              <w:t>0.9</w:t>
            </w:r>
          </w:p>
        </w:tc>
        <w:tc>
          <w:tcPr>
            <w:tcW w:w="1231" w:type="dxa"/>
            <w:vAlign w:val="center"/>
          </w:tcPr>
          <w:p w:rsidR="003C7A7D" w:rsidRPr="007121B8" w:rsidRDefault="003C7A7D" w:rsidP="003C7A7D">
            <w:pPr>
              <w:keepNext/>
              <w:spacing w:after="240"/>
              <w:jc w:val="center"/>
              <w:rPr>
                <w:rFonts w:ascii="Arial" w:hAnsi="Arial" w:cs="Arial"/>
                <w:b/>
                <w:sz w:val="20"/>
                <w:szCs w:val="20"/>
              </w:rPr>
            </w:pPr>
            <w:r>
              <w:rPr>
                <w:rFonts w:ascii="Arial" w:hAnsi="Arial" w:cs="Arial"/>
                <w:b/>
                <w:sz w:val="20"/>
                <w:szCs w:val="20"/>
              </w:rPr>
              <w:t>8.2</w:t>
            </w:r>
          </w:p>
        </w:tc>
      </w:tr>
      <w:tr w:rsidR="003C7A7D" w:rsidRPr="007121B8" w:rsidTr="003C7A7D">
        <w:trPr>
          <w:cantSplit/>
          <w:trHeight w:val="1289"/>
        </w:trPr>
        <w:tc>
          <w:tcPr>
            <w:tcW w:w="1985" w:type="dxa"/>
            <w:vAlign w:val="center"/>
          </w:tcPr>
          <w:p w:rsidR="003C7A7D" w:rsidRPr="007121B8" w:rsidRDefault="003C7A7D" w:rsidP="003C7A7D">
            <w:pPr>
              <w:keepNext/>
              <w:spacing w:after="240"/>
              <w:rPr>
                <w:rFonts w:ascii="Arial" w:hAnsi="Arial" w:cs="Arial"/>
                <w:b/>
                <w:sz w:val="20"/>
                <w:szCs w:val="20"/>
              </w:rPr>
            </w:pPr>
            <w:r w:rsidRPr="007121B8">
              <w:rPr>
                <w:rFonts w:ascii="Arial" w:hAnsi="Arial" w:cs="Arial"/>
                <w:b/>
                <w:sz w:val="20"/>
                <w:szCs w:val="20"/>
              </w:rPr>
              <w:t>Total maximum esti</w:t>
            </w:r>
            <w:r w:rsidR="00B41432">
              <w:rPr>
                <w:rFonts w:ascii="Arial" w:hAnsi="Arial" w:cs="Arial"/>
                <w:b/>
                <w:sz w:val="20"/>
                <w:szCs w:val="20"/>
              </w:rPr>
              <w:t>mated additional administrative</w:t>
            </w:r>
            <w:r w:rsidRPr="007121B8">
              <w:rPr>
                <w:rFonts w:ascii="Arial" w:hAnsi="Arial" w:cs="Arial"/>
                <w:b/>
                <w:sz w:val="20"/>
                <w:szCs w:val="20"/>
              </w:rPr>
              <w:t xml:space="preserve"> cost</w:t>
            </w:r>
          </w:p>
        </w:tc>
        <w:tc>
          <w:tcPr>
            <w:tcW w:w="1276" w:type="dxa"/>
            <w:vAlign w:val="center"/>
          </w:tcPr>
          <w:p w:rsidR="003C7A7D" w:rsidRPr="007121B8" w:rsidRDefault="003C7A7D" w:rsidP="003C7A7D">
            <w:pPr>
              <w:keepNext/>
              <w:spacing w:after="240"/>
              <w:jc w:val="center"/>
              <w:rPr>
                <w:rFonts w:ascii="Arial" w:hAnsi="Arial" w:cs="Arial"/>
                <w:b/>
                <w:sz w:val="20"/>
                <w:szCs w:val="20"/>
              </w:rPr>
            </w:pPr>
            <w:r>
              <w:rPr>
                <w:rFonts w:ascii="Arial" w:hAnsi="Arial" w:cs="Arial"/>
                <w:b/>
                <w:sz w:val="20"/>
                <w:szCs w:val="20"/>
              </w:rPr>
              <w:t>4.2</w:t>
            </w:r>
          </w:p>
        </w:tc>
        <w:tc>
          <w:tcPr>
            <w:tcW w:w="1369" w:type="dxa"/>
            <w:vAlign w:val="center"/>
          </w:tcPr>
          <w:p w:rsidR="003C7A7D" w:rsidRPr="007121B8" w:rsidRDefault="003C7A7D" w:rsidP="003C7A7D">
            <w:pPr>
              <w:keepNext/>
              <w:spacing w:after="240"/>
              <w:jc w:val="center"/>
              <w:rPr>
                <w:rFonts w:ascii="Arial" w:hAnsi="Arial" w:cs="Arial"/>
                <w:b/>
                <w:sz w:val="20"/>
                <w:szCs w:val="20"/>
              </w:rPr>
            </w:pPr>
            <w:r>
              <w:rPr>
                <w:rFonts w:ascii="Arial" w:hAnsi="Arial" w:cs="Arial"/>
                <w:b/>
                <w:sz w:val="20"/>
                <w:szCs w:val="20"/>
              </w:rPr>
              <w:t>17.0</w:t>
            </w:r>
          </w:p>
        </w:tc>
        <w:tc>
          <w:tcPr>
            <w:tcW w:w="1477" w:type="dxa"/>
            <w:vAlign w:val="center"/>
          </w:tcPr>
          <w:p w:rsidR="003C7A7D" w:rsidRPr="007121B8" w:rsidRDefault="003C7A7D" w:rsidP="003C7A7D">
            <w:pPr>
              <w:keepNext/>
              <w:spacing w:after="240"/>
              <w:jc w:val="center"/>
              <w:rPr>
                <w:rFonts w:ascii="Arial" w:hAnsi="Arial" w:cs="Arial"/>
                <w:b/>
                <w:sz w:val="20"/>
                <w:szCs w:val="20"/>
              </w:rPr>
            </w:pPr>
            <w:r>
              <w:rPr>
                <w:rFonts w:ascii="Arial" w:hAnsi="Arial" w:cs="Arial"/>
                <w:b/>
                <w:sz w:val="20"/>
                <w:szCs w:val="20"/>
              </w:rPr>
              <w:t>4.5</w:t>
            </w:r>
          </w:p>
        </w:tc>
        <w:tc>
          <w:tcPr>
            <w:tcW w:w="1691" w:type="dxa"/>
            <w:vAlign w:val="center"/>
          </w:tcPr>
          <w:p w:rsidR="003C7A7D" w:rsidRPr="007121B8" w:rsidRDefault="003C7A7D" w:rsidP="003C7A7D">
            <w:pPr>
              <w:keepNext/>
              <w:spacing w:after="240"/>
              <w:jc w:val="center"/>
              <w:rPr>
                <w:rFonts w:ascii="Arial" w:hAnsi="Arial" w:cs="Arial"/>
                <w:b/>
                <w:sz w:val="20"/>
                <w:szCs w:val="20"/>
              </w:rPr>
            </w:pPr>
            <w:r>
              <w:rPr>
                <w:rFonts w:ascii="Arial" w:hAnsi="Arial" w:cs="Arial"/>
                <w:b/>
                <w:sz w:val="20"/>
                <w:szCs w:val="20"/>
              </w:rPr>
              <w:t>3.3</w:t>
            </w:r>
          </w:p>
        </w:tc>
        <w:tc>
          <w:tcPr>
            <w:tcW w:w="1231" w:type="dxa"/>
            <w:vAlign w:val="center"/>
          </w:tcPr>
          <w:p w:rsidR="003C7A7D" w:rsidRPr="007121B8" w:rsidRDefault="003C7A7D" w:rsidP="003C7A7D">
            <w:pPr>
              <w:keepNext/>
              <w:spacing w:after="240"/>
              <w:jc w:val="center"/>
              <w:rPr>
                <w:rFonts w:ascii="Arial" w:hAnsi="Arial" w:cs="Arial"/>
                <w:b/>
                <w:sz w:val="20"/>
                <w:szCs w:val="20"/>
              </w:rPr>
            </w:pPr>
            <w:r>
              <w:rPr>
                <w:rFonts w:ascii="Arial" w:hAnsi="Arial" w:cs="Arial"/>
                <w:b/>
                <w:sz w:val="20"/>
                <w:szCs w:val="20"/>
              </w:rPr>
              <w:t>29.0</w:t>
            </w:r>
          </w:p>
        </w:tc>
      </w:tr>
      <w:tr w:rsidR="003C7A7D" w:rsidRPr="007121B8" w:rsidTr="003C7A7D">
        <w:trPr>
          <w:cantSplit/>
        </w:trPr>
        <w:tc>
          <w:tcPr>
            <w:tcW w:w="1985" w:type="dxa"/>
            <w:vAlign w:val="center"/>
          </w:tcPr>
          <w:p w:rsidR="003C7A7D" w:rsidRPr="007121B8" w:rsidRDefault="003C7A7D" w:rsidP="003C7A7D">
            <w:pPr>
              <w:spacing w:after="240"/>
              <w:rPr>
                <w:rFonts w:ascii="Arial" w:hAnsi="Arial" w:cs="Arial"/>
                <w:b/>
                <w:sz w:val="20"/>
                <w:szCs w:val="20"/>
              </w:rPr>
            </w:pPr>
            <w:r w:rsidRPr="007121B8">
              <w:rPr>
                <w:rFonts w:ascii="Arial" w:hAnsi="Arial" w:cs="Arial"/>
                <w:b/>
                <w:sz w:val="20"/>
                <w:szCs w:val="20"/>
              </w:rPr>
              <w:t>Midpoint for total estimated additional administrative cost</w:t>
            </w:r>
          </w:p>
        </w:tc>
        <w:tc>
          <w:tcPr>
            <w:tcW w:w="1276" w:type="dxa"/>
            <w:vAlign w:val="center"/>
          </w:tcPr>
          <w:p w:rsidR="003C7A7D" w:rsidRPr="007121B8" w:rsidRDefault="003C7A7D" w:rsidP="003C7A7D">
            <w:pPr>
              <w:spacing w:after="240"/>
              <w:jc w:val="center"/>
              <w:rPr>
                <w:rFonts w:ascii="Arial" w:hAnsi="Arial" w:cs="Arial"/>
                <w:b/>
                <w:sz w:val="20"/>
                <w:szCs w:val="20"/>
              </w:rPr>
            </w:pPr>
            <w:r>
              <w:rPr>
                <w:rFonts w:ascii="Arial" w:hAnsi="Arial" w:cs="Arial"/>
                <w:b/>
                <w:sz w:val="20"/>
                <w:szCs w:val="20"/>
              </w:rPr>
              <w:t>2.8</w:t>
            </w:r>
          </w:p>
        </w:tc>
        <w:tc>
          <w:tcPr>
            <w:tcW w:w="1369" w:type="dxa"/>
            <w:vAlign w:val="center"/>
          </w:tcPr>
          <w:p w:rsidR="003C7A7D" w:rsidRPr="007121B8" w:rsidRDefault="003C7A7D" w:rsidP="003C7A7D">
            <w:pPr>
              <w:spacing w:after="240"/>
              <w:jc w:val="center"/>
              <w:rPr>
                <w:rFonts w:ascii="Arial" w:hAnsi="Arial" w:cs="Arial"/>
                <w:b/>
                <w:sz w:val="20"/>
                <w:szCs w:val="20"/>
              </w:rPr>
            </w:pPr>
            <w:r>
              <w:rPr>
                <w:rFonts w:ascii="Arial" w:hAnsi="Arial" w:cs="Arial"/>
                <w:b/>
                <w:sz w:val="20"/>
                <w:szCs w:val="20"/>
              </w:rPr>
              <w:t>11.1</w:t>
            </w:r>
          </w:p>
        </w:tc>
        <w:tc>
          <w:tcPr>
            <w:tcW w:w="1477" w:type="dxa"/>
            <w:vAlign w:val="center"/>
          </w:tcPr>
          <w:p w:rsidR="003C7A7D" w:rsidRPr="007121B8" w:rsidRDefault="003C7A7D" w:rsidP="003C7A7D">
            <w:pPr>
              <w:spacing w:after="240"/>
              <w:jc w:val="center"/>
              <w:rPr>
                <w:rFonts w:ascii="Arial" w:hAnsi="Arial" w:cs="Arial"/>
                <w:b/>
                <w:sz w:val="20"/>
                <w:szCs w:val="20"/>
              </w:rPr>
            </w:pPr>
            <w:r>
              <w:rPr>
                <w:rFonts w:ascii="Arial" w:hAnsi="Arial" w:cs="Arial"/>
                <w:b/>
                <w:sz w:val="20"/>
                <w:szCs w:val="20"/>
              </w:rPr>
              <w:t>2.6</w:t>
            </w:r>
          </w:p>
        </w:tc>
        <w:tc>
          <w:tcPr>
            <w:tcW w:w="1691" w:type="dxa"/>
            <w:vAlign w:val="center"/>
          </w:tcPr>
          <w:p w:rsidR="003C7A7D" w:rsidRPr="007121B8" w:rsidRDefault="003C7A7D" w:rsidP="003C7A7D">
            <w:pPr>
              <w:spacing w:after="240"/>
              <w:jc w:val="center"/>
              <w:rPr>
                <w:rFonts w:ascii="Arial" w:hAnsi="Arial" w:cs="Arial"/>
                <w:b/>
                <w:sz w:val="20"/>
                <w:szCs w:val="20"/>
              </w:rPr>
            </w:pPr>
            <w:r>
              <w:rPr>
                <w:rFonts w:ascii="Arial" w:hAnsi="Arial" w:cs="Arial"/>
                <w:b/>
                <w:sz w:val="20"/>
                <w:szCs w:val="20"/>
              </w:rPr>
              <w:t>2.1</w:t>
            </w:r>
          </w:p>
        </w:tc>
        <w:tc>
          <w:tcPr>
            <w:tcW w:w="1231" w:type="dxa"/>
            <w:vAlign w:val="center"/>
          </w:tcPr>
          <w:p w:rsidR="003C7A7D" w:rsidRPr="007121B8" w:rsidRDefault="003C7A7D" w:rsidP="003C7A7D">
            <w:pPr>
              <w:spacing w:after="240"/>
              <w:jc w:val="center"/>
              <w:rPr>
                <w:rFonts w:ascii="Arial" w:hAnsi="Arial" w:cs="Arial"/>
                <w:b/>
                <w:sz w:val="20"/>
                <w:szCs w:val="20"/>
              </w:rPr>
            </w:pPr>
            <w:r>
              <w:rPr>
                <w:rFonts w:ascii="Arial" w:hAnsi="Arial" w:cs="Arial"/>
                <w:b/>
                <w:sz w:val="20"/>
                <w:szCs w:val="20"/>
              </w:rPr>
              <w:t>18.6</w:t>
            </w:r>
          </w:p>
        </w:tc>
      </w:tr>
    </w:tbl>
    <w:p w:rsidR="003C7A7D" w:rsidRDefault="003C7A7D" w:rsidP="003C7A7D">
      <w:pPr>
        <w:spacing w:after="240"/>
        <w:rPr>
          <w:rFonts w:ascii="Arial" w:hAnsi="Arial" w:cs="Arial"/>
          <w:b/>
          <w:u w:val="single"/>
        </w:rPr>
      </w:pPr>
      <w:r>
        <w:rPr>
          <w:rFonts w:ascii="Arial" w:hAnsi="Arial" w:cs="Arial"/>
          <w:b/>
          <w:u w:val="single"/>
        </w:rPr>
        <w:lastRenderedPageBreak/>
        <w:t>Delay costs</w:t>
      </w:r>
    </w:p>
    <w:p w:rsidR="003C7A7D" w:rsidRDefault="003C7A7D" w:rsidP="003C7A7D">
      <w:pPr>
        <w:spacing w:after="240"/>
        <w:rPr>
          <w:rFonts w:ascii="Arial" w:hAnsi="Arial" w:cs="Arial"/>
        </w:rPr>
      </w:pPr>
      <w:r>
        <w:rPr>
          <w:rFonts w:ascii="Arial" w:hAnsi="Arial" w:cs="Arial"/>
        </w:rPr>
        <w:t>Delay costs reflect the cost to businesses due to the delay in offering product for sale because of testing for compliance with regulation.</w:t>
      </w:r>
    </w:p>
    <w:p w:rsidR="003C7A7D" w:rsidRDefault="003C7A7D" w:rsidP="003C7A7D">
      <w:pPr>
        <w:spacing w:after="240"/>
        <w:rPr>
          <w:rFonts w:ascii="Arial" w:hAnsi="Arial" w:cs="Arial"/>
        </w:rPr>
      </w:pPr>
      <w:r>
        <w:rPr>
          <w:rFonts w:ascii="Arial" w:hAnsi="Arial" w:cs="Arial"/>
        </w:rPr>
        <w:t xml:space="preserve">Some direct and prolonged contact articles are seasonal and delays delivering product for supply mean the period where full prices can be charged (prior to end of season discounting) is reduced. </w:t>
      </w:r>
    </w:p>
    <w:p w:rsidR="003C7A7D" w:rsidRDefault="003C7A7D" w:rsidP="003C7A7D">
      <w:pPr>
        <w:spacing w:after="240"/>
        <w:rPr>
          <w:rFonts w:ascii="Arial" w:hAnsi="Arial" w:cs="Arial"/>
        </w:rPr>
      </w:pPr>
      <w:r>
        <w:rPr>
          <w:rFonts w:ascii="Arial" w:hAnsi="Arial" w:cs="Arial"/>
        </w:rPr>
        <w:t>As not all direct and prolonged contact articles are seasonal (e.g. underwear and socks) and therefore not subject to seasonal discounting and not all articles subject to seasonal discounting will be subject to delay costs because business are expected factor testing into delivery timelines, it is anticipated that only 3 per cent of articles tested will create delay costs. Based on discussion with business, it has been assumed that each delay due to testing will cost a business $2000. This estimate will vary depending on the price of each article and the size of the consignment, therefore delay costs may vary significantly from business to business.</w:t>
      </w:r>
    </w:p>
    <w:p w:rsidR="003C7A7D" w:rsidRDefault="003C7A7D" w:rsidP="003C7A7D">
      <w:pPr>
        <w:spacing w:after="240"/>
        <w:ind w:left="1440" w:hanging="1440"/>
        <w:rPr>
          <w:rFonts w:ascii="Arial" w:hAnsi="Arial" w:cs="Arial"/>
        </w:rPr>
      </w:pPr>
      <w:r w:rsidRPr="00FB4694">
        <w:rPr>
          <w:rFonts w:ascii="Arial" w:hAnsi="Arial" w:cs="Arial"/>
          <w:b/>
        </w:rPr>
        <w:t>Table A8.6:</w:t>
      </w:r>
      <w:r w:rsidRPr="00FB4694">
        <w:rPr>
          <w:rFonts w:ascii="Arial" w:hAnsi="Arial" w:cs="Arial"/>
          <w:b/>
        </w:rPr>
        <w:tab/>
      </w:r>
      <w:r w:rsidRPr="0096157A">
        <w:rPr>
          <w:rFonts w:ascii="Arial" w:hAnsi="Arial" w:cs="Arial"/>
          <w:b/>
        </w:rPr>
        <w:t>Estimated</w:t>
      </w:r>
      <w:r w:rsidRPr="00733E4E">
        <w:rPr>
          <w:rFonts w:ascii="Arial" w:hAnsi="Arial" w:cs="Arial"/>
          <w:b/>
        </w:rPr>
        <w:t xml:space="preserve"> additional </w:t>
      </w:r>
      <w:r>
        <w:rPr>
          <w:rFonts w:ascii="Arial" w:hAnsi="Arial" w:cs="Arial"/>
          <w:b/>
        </w:rPr>
        <w:t>delay</w:t>
      </w:r>
      <w:r w:rsidRPr="00733E4E">
        <w:rPr>
          <w:rFonts w:ascii="Arial" w:hAnsi="Arial" w:cs="Arial"/>
          <w:b/>
        </w:rPr>
        <w:t xml:space="preserve"> costs</w:t>
      </w:r>
      <w:r>
        <w:rPr>
          <w:rFonts w:ascii="Arial" w:hAnsi="Arial" w:cs="Arial"/>
          <w:b/>
        </w:rPr>
        <w:t xml:space="preserve"> in the first year of regulation (2015-16), $m</w:t>
      </w:r>
    </w:p>
    <w:tbl>
      <w:tblPr>
        <w:tblStyle w:val="TableGrid"/>
        <w:tblW w:w="0" w:type="auto"/>
        <w:tblBorders>
          <w:top w:val="single" w:sz="12" w:space="0" w:color="auto"/>
          <w:left w:val="none" w:sz="0" w:space="0" w:color="auto"/>
          <w:bottom w:val="single" w:sz="12" w:space="0" w:color="auto"/>
          <w:right w:val="none" w:sz="0" w:space="0" w:color="auto"/>
          <w:insideH w:val="single" w:sz="2" w:space="0" w:color="auto"/>
          <w:insideV w:val="none" w:sz="0" w:space="0" w:color="auto"/>
        </w:tblBorders>
        <w:tblLook w:val="04A0" w:firstRow="1" w:lastRow="0" w:firstColumn="1" w:lastColumn="0" w:noHBand="0" w:noVBand="1"/>
      </w:tblPr>
      <w:tblGrid>
        <w:gridCol w:w="1808"/>
        <w:gridCol w:w="1307"/>
        <w:gridCol w:w="1510"/>
        <w:gridCol w:w="1510"/>
        <w:gridCol w:w="1714"/>
        <w:gridCol w:w="1180"/>
      </w:tblGrid>
      <w:tr w:rsidR="003C7A7D" w:rsidRPr="008148DA" w:rsidTr="003C7A7D">
        <w:trPr>
          <w:cantSplit/>
        </w:trPr>
        <w:tc>
          <w:tcPr>
            <w:tcW w:w="1808" w:type="dxa"/>
            <w:tcBorders>
              <w:top w:val="single" w:sz="12" w:space="0" w:color="auto"/>
              <w:bottom w:val="single" w:sz="12" w:space="0" w:color="auto"/>
            </w:tcBorders>
          </w:tcPr>
          <w:p w:rsidR="003C7A7D" w:rsidRPr="00113A6D" w:rsidRDefault="003C7A7D" w:rsidP="003C7A7D">
            <w:pPr>
              <w:keepNext/>
              <w:spacing w:after="240"/>
              <w:jc w:val="center"/>
              <w:rPr>
                <w:rFonts w:ascii="Arial" w:hAnsi="Arial" w:cs="Arial"/>
                <w:b/>
                <w:sz w:val="20"/>
                <w:szCs w:val="20"/>
              </w:rPr>
            </w:pPr>
            <w:r w:rsidRPr="00113A6D">
              <w:rPr>
                <w:rFonts w:ascii="Arial" w:hAnsi="Arial" w:cs="Arial"/>
                <w:b/>
                <w:sz w:val="20"/>
                <w:szCs w:val="20"/>
              </w:rPr>
              <w:t xml:space="preserve">Stakeholder </w:t>
            </w:r>
            <w:r w:rsidRPr="00113A6D">
              <w:rPr>
                <w:rFonts w:ascii="Arial" w:hAnsi="Arial" w:cs="Arial"/>
                <w:sz w:val="20"/>
                <w:szCs w:val="20"/>
              </w:rPr>
              <w:t>(includes costs of both clothing and Manchester and other textile goods suppliers)</w:t>
            </w:r>
          </w:p>
        </w:tc>
        <w:tc>
          <w:tcPr>
            <w:tcW w:w="1307" w:type="dxa"/>
            <w:tcBorders>
              <w:top w:val="single" w:sz="12" w:space="0" w:color="auto"/>
              <w:bottom w:val="single" w:sz="12" w:space="0" w:color="auto"/>
            </w:tcBorders>
          </w:tcPr>
          <w:p w:rsidR="003C7A7D" w:rsidRPr="00113A6D" w:rsidRDefault="003C7A7D" w:rsidP="003C7A7D">
            <w:pPr>
              <w:keepNext/>
              <w:spacing w:after="240"/>
              <w:jc w:val="center"/>
              <w:rPr>
                <w:rFonts w:ascii="Arial" w:hAnsi="Arial" w:cs="Arial"/>
                <w:b/>
                <w:sz w:val="20"/>
                <w:szCs w:val="20"/>
              </w:rPr>
            </w:pPr>
            <w:r w:rsidRPr="00113A6D">
              <w:rPr>
                <w:rFonts w:ascii="Arial" w:hAnsi="Arial" w:cs="Arial"/>
                <w:b/>
                <w:sz w:val="20"/>
                <w:szCs w:val="20"/>
              </w:rPr>
              <w:t>Non-employing</w:t>
            </w:r>
          </w:p>
        </w:tc>
        <w:tc>
          <w:tcPr>
            <w:tcW w:w="1510" w:type="dxa"/>
            <w:tcBorders>
              <w:top w:val="single" w:sz="12" w:space="0" w:color="auto"/>
              <w:bottom w:val="single" w:sz="12" w:space="0" w:color="auto"/>
            </w:tcBorders>
          </w:tcPr>
          <w:p w:rsidR="003C7A7D" w:rsidRPr="00113A6D" w:rsidRDefault="003C7A7D" w:rsidP="003C7A7D">
            <w:pPr>
              <w:keepNext/>
              <w:spacing w:after="240"/>
              <w:jc w:val="center"/>
              <w:rPr>
                <w:rFonts w:ascii="Arial" w:hAnsi="Arial" w:cs="Arial"/>
                <w:b/>
                <w:sz w:val="20"/>
                <w:szCs w:val="20"/>
              </w:rPr>
            </w:pPr>
            <w:r w:rsidRPr="00113A6D">
              <w:rPr>
                <w:rFonts w:ascii="Arial" w:hAnsi="Arial" w:cs="Arial"/>
                <w:b/>
                <w:sz w:val="20"/>
                <w:szCs w:val="20"/>
              </w:rPr>
              <w:t>Small</w:t>
            </w:r>
          </w:p>
          <w:p w:rsidR="003C7A7D" w:rsidRPr="00113A6D" w:rsidRDefault="003C7A7D" w:rsidP="003C7A7D">
            <w:pPr>
              <w:keepNext/>
              <w:spacing w:after="240"/>
              <w:jc w:val="center"/>
              <w:rPr>
                <w:rFonts w:ascii="Arial" w:hAnsi="Arial" w:cs="Arial"/>
                <w:b/>
                <w:sz w:val="20"/>
                <w:szCs w:val="20"/>
              </w:rPr>
            </w:pPr>
            <w:r w:rsidRPr="00113A6D">
              <w:rPr>
                <w:rFonts w:ascii="Arial" w:hAnsi="Arial" w:cs="Arial"/>
                <w:b/>
                <w:sz w:val="20"/>
                <w:szCs w:val="20"/>
              </w:rPr>
              <w:t>1-19 employees</w:t>
            </w:r>
          </w:p>
        </w:tc>
        <w:tc>
          <w:tcPr>
            <w:tcW w:w="1510" w:type="dxa"/>
            <w:tcBorders>
              <w:top w:val="single" w:sz="12" w:space="0" w:color="auto"/>
              <w:bottom w:val="single" w:sz="12" w:space="0" w:color="auto"/>
            </w:tcBorders>
          </w:tcPr>
          <w:p w:rsidR="003C7A7D" w:rsidRPr="00113A6D" w:rsidRDefault="003C7A7D" w:rsidP="003C7A7D">
            <w:pPr>
              <w:keepNext/>
              <w:spacing w:after="240"/>
              <w:jc w:val="center"/>
              <w:rPr>
                <w:rFonts w:ascii="Arial" w:hAnsi="Arial" w:cs="Arial"/>
                <w:b/>
                <w:sz w:val="20"/>
                <w:szCs w:val="20"/>
              </w:rPr>
            </w:pPr>
            <w:r w:rsidRPr="00113A6D">
              <w:rPr>
                <w:rFonts w:ascii="Arial" w:hAnsi="Arial" w:cs="Arial"/>
                <w:b/>
                <w:sz w:val="20"/>
                <w:szCs w:val="20"/>
              </w:rPr>
              <w:t>Medium</w:t>
            </w:r>
          </w:p>
          <w:p w:rsidR="003C7A7D" w:rsidRPr="00113A6D" w:rsidRDefault="003C7A7D" w:rsidP="003C7A7D">
            <w:pPr>
              <w:keepNext/>
              <w:spacing w:after="240"/>
              <w:jc w:val="center"/>
              <w:rPr>
                <w:rFonts w:ascii="Arial" w:hAnsi="Arial" w:cs="Arial"/>
                <w:b/>
                <w:sz w:val="20"/>
                <w:szCs w:val="20"/>
              </w:rPr>
            </w:pPr>
            <w:r w:rsidRPr="00113A6D">
              <w:rPr>
                <w:rFonts w:ascii="Arial" w:hAnsi="Arial" w:cs="Arial"/>
                <w:b/>
                <w:sz w:val="20"/>
                <w:szCs w:val="20"/>
              </w:rPr>
              <w:t>20-199 employees</w:t>
            </w:r>
          </w:p>
        </w:tc>
        <w:tc>
          <w:tcPr>
            <w:tcW w:w="1714" w:type="dxa"/>
            <w:tcBorders>
              <w:top w:val="single" w:sz="12" w:space="0" w:color="auto"/>
              <w:bottom w:val="single" w:sz="12" w:space="0" w:color="auto"/>
            </w:tcBorders>
          </w:tcPr>
          <w:p w:rsidR="003C7A7D" w:rsidRPr="00113A6D" w:rsidRDefault="003C7A7D" w:rsidP="003C7A7D">
            <w:pPr>
              <w:keepNext/>
              <w:spacing w:after="240"/>
              <w:jc w:val="center"/>
              <w:rPr>
                <w:rFonts w:ascii="Arial" w:hAnsi="Arial" w:cs="Arial"/>
                <w:b/>
                <w:sz w:val="20"/>
                <w:szCs w:val="20"/>
              </w:rPr>
            </w:pPr>
            <w:r w:rsidRPr="00113A6D">
              <w:rPr>
                <w:rFonts w:ascii="Arial" w:hAnsi="Arial" w:cs="Arial"/>
                <w:b/>
                <w:sz w:val="20"/>
                <w:szCs w:val="20"/>
              </w:rPr>
              <w:t>Large</w:t>
            </w:r>
          </w:p>
          <w:p w:rsidR="003C7A7D" w:rsidRPr="00113A6D" w:rsidRDefault="003C7A7D" w:rsidP="003C7A7D">
            <w:pPr>
              <w:keepNext/>
              <w:spacing w:after="240"/>
              <w:jc w:val="center"/>
              <w:rPr>
                <w:rFonts w:ascii="Arial" w:hAnsi="Arial" w:cs="Arial"/>
                <w:b/>
                <w:sz w:val="20"/>
                <w:szCs w:val="20"/>
              </w:rPr>
            </w:pPr>
            <w:r w:rsidRPr="00113A6D">
              <w:rPr>
                <w:rFonts w:ascii="Arial" w:hAnsi="Arial" w:cs="Arial"/>
                <w:b/>
                <w:sz w:val="20"/>
                <w:szCs w:val="20"/>
              </w:rPr>
              <w:t>200+ employees</w:t>
            </w:r>
          </w:p>
        </w:tc>
        <w:tc>
          <w:tcPr>
            <w:tcW w:w="1180" w:type="dxa"/>
            <w:tcBorders>
              <w:top w:val="single" w:sz="12" w:space="0" w:color="auto"/>
              <w:bottom w:val="single" w:sz="12" w:space="0" w:color="auto"/>
            </w:tcBorders>
          </w:tcPr>
          <w:p w:rsidR="003C7A7D" w:rsidRPr="00113A6D" w:rsidRDefault="003C7A7D" w:rsidP="003C7A7D">
            <w:pPr>
              <w:keepNext/>
              <w:spacing w:after="240"/>
              <w:jc w:val="center"/>
              <w:rPr>
                <w:rFonts w:ascii="Arial" w:hAnsi="Arial" w:cs="Arial"/>
                <w:b/>
                <w:sz w:val="20"/>
                <w:szCs w:val="20"/>
              </w:rPr>
            </w:pPr>
            <w:r>
              <w:rPr>
                <w:rFonts w:ascii="Arial" w:hAnsi="Arial" w:cs="Arial"/>
                <w:b/>
                <w:sz w:val="20"/>
                <w:szCs w:val="20"/>
              </w:rPr>
              <w:t>Total</w:t>
            </w:r>
          </w:p>
        </w:tc>
      </w:tr>
      <w:tr w:rsidR="003C7A7D" w:rsidRPr="008148DA" w:rsidTr="003C7A7D">
        <w:trPr>
          <w:cantSplit/>
        </w:trPr>
        <w:tc>
          <w:tcPr>
            <w:tcW w:w="1808" w:type="dxa"/>
          </w:tcPr>
          <w:p w:rsidR="003C7A7D" w:rsidRPr="00113A6D" w:rsidRDefault="003C7A7D" w:rsidP="003C7A7D">
            <w:pPr>
              <w:keepNext/>
              <w:spacing w:after="240"/>
              <w:rPr>
                <w:rFonts w:ascii="Arial" w:hAnsi="Arial" w:cs="Arial"/>
                <w:b/>
                <w:sz w:val="20"/>
                <w:szCs w:val="20"/>
              </w:rPr>
            </w:pPr>
            <w:r w:rsidRPr="000A5A4A">
              <w:rPr>
                <w:rFonts w:ascii="Arial" w:hAnsi="Arial" w:cs="Arial"/>
                <w:b/>
                <w:sz w:val="20"/>
                <w:szCs w:val="20"/>
              </w:rPr>
              <w:t>Cost of d</w:t>
            </w:r>
            <w:r w:rsidRPr="00CE6154">
              <w:rPr>
                <w:rFonts w:ascii="Arial" w:hAnsi="Arial" w:cs="Arial"/>
                <w:b/>
                <w:sz w:val="20"/>
                <w:szCs w:val="20"/>
              </w:rPr>
              <w:t>elay</w:t>
            </w:r>
          </w:p>
        </w:tc>
        <w:tc>
          <w:tcPr>
            <w:tcW w:w="1307" w:type="dxa"/>
          </w:tcPr>
          <w:p w:rsidR="003C7A7D" w:rsidRPr="00113A6D" w:rsidRDefault="003C7A7D" w:rsidP="003C7A7D">
            <w:pPr>
              <w:keepNext/>
              <w:spacing w:after="240"/>
              <w:jc w:val="center"/>
              <w:rPr>
                <w:rFonts w:ascii="Arial" w:hAnsi="Arial" w:cs="Arial"/>
                <w:b/>
                <w:sz w:val="20"/>
                <w:szCs w:val="20"/>
              </w:rPr>
            </w:pPr>
          </w:p>
        </w:tc>
        <w:tc>
          <w:tcPr>
            <w:tcW w:w="1510" w:type="dxa"/>
          </w:tcPr>
          <w:p w:rsidR="003C7A7D" w:rsidRPr="00113A6D" w:rsidRDefault="003C7A7D" w:rsidP="003C7A7D">
            <w:pPr>
              <w:keepNext/>
              <w:spacing w:after="240"/>
              <w:jc w:val="center"/>
              <w:rPr>
                <w:rFonts w:ascii="Arial" w:hAnsi="Arial" w:cs="Arial"/>
                <w:b/>
                <w:sz w:val="20"/>
                <w:szCs w:val="20"/>
              </w:rPr>
            </w:pPr>
          </w:p>
        </w:tc>
        <w:tc>
          <w:tcPr>
            <w:tcW w:w="1510" w:type="dxa"/>
          </w:tcPr>
          <w:p w:rsidR="003C7A7D" w:rsidRPr="00113A6D" w:rsidRDefault="003C7A7D" w:rsidP="003C7A7D">
            <w:pPr>
              <w:keepNext/>
              <w:spacing w:after="240"/>
              <w:jc w:val="center"/>
              <w:rPr>
                <w:rFonts w:ascii="Arial" w:hAnsi="Arial" w:cs="Arial"/>
                <w:b/>
                <w:sz w:val="20"/>
                <w:szCs w:val="20"/>
              </w:rPr>
            </w:pPr>
          </w:p>
        </w:tc>
        <w:tc>
          <w:tcPr>
            <w:tcW w:w="1714" w:type="dxa"/>
          </w:tcPr>
          <w:p w:rsidR="003C7A7D" w:rsidRPr="00113A6D" w:rsidRDefault="003C7A7D" w:rsidP="003C7A7D">
            <w:pPr>
              <w:keepNext/>
              <w:spacing w:after="240"/>
              <w:jc w:val="center"/>
              <w:rPr>
                <w:rFonts w:ascii="Arial" w:hAnsi="Arial" w:cs="Arial"/>
                <w:b/>
                <w:sz w:val="20"/>
                <w:szCs w:val="20"/>
              </w:rPr>
            </w:pPr>
          </w:p>
        </w:tc>
        <w:tc>
          <w:tcPr>
            <w:tcW w:w="1180" w:type="dxa"/>
          </w:tcPr>
          <w:p w:rsidR="003C7A7D" w:rsidRPr="00113A6D" w:rsidRDefault="003C7A7D" w:rsidP="003C7A7D">
            <w:pPr>
              <w:keepNext/>
              <w:spacing w:after="240"/>
              <w:jc w:val="center"/>
              <w:rPr>
                <w:rFonts w:ascii="Arial" w:hAnsi="Arial" w:cs="Arial"/>
                <w:b/>
                <w:sz w:val="20"/>
                <w:szCs w:val="20"/>
              </w:rPr>
            </w:pPr>
          </w:p>
        </w:tc>
      </w:tr>
      <w:tr w:rsidR="003C7A7D" w:rsidRPr="008148DA" w:rsidTr="003C7A7D">
        <w:trPr>
          <w:cantSplit/>
        </w:trPr>
        <w:tc>
          <w:tcPr>
            <w:tcW w:w="1808" w:type="dxa"/>
          </w:tcPr>
          <w:p w:rsidR="003C7A7D" w:rsidRPr="000A5A4A" w:rsidRDefault="003C7A7D" w:rsidP="003C7A7D">
            <w:pPr>
              <w:keepNext/>
              <w:spacing w:after="240"/>
              <w:rPr>
                <w:rFonts w:ascii="Arial" w:hAnsi="Arial" w:cs="Arial"/>
                <w:sz w:val="20"/>
                <w:szCs w:val="20"/>
              </w:rPr>
            </w:pPr>
            <w:r w:rsidRPr="00E82165">
              <w:rPr>
                <w:rFonts w:ascii="Arial" w:hAnsi="Arial" w:cs="Arial"/>
                <w:sz w:val="20"/>
                <w:szCs w:val="20"/>
              </w:rPr>
              <w:t xml:space="preserve">Minimum estimated </w:t>
            </w:r>
            <w:r>
              <w:rPr>
                <w:rFonts w:ascii="Arial" w:hAnsi="Arial" w:cs="Arial"/>
                <w:sz w:val="20"/>
                <w:szCs w:val="20"/>
              </w:rPr>
              <w:t xml:space="preserve">additional </w:t>
            </w:r>
            <w:r w:rsidRPr="00E82165">
              <w:rPr>
                <w:rFonts w:ascii="Arial" w:hAnsi="Arial" w:cs="Arial"/>
                <w:sz w:val="20"/>
                <w:szCs w:val="20"/>
              </w:rPr>
              <w:t>cost ($m)</w:t>
            </w:r>
          </w:p>
        </w:tc>
        <w:tc>
          <w:tcPr>
            <w:tcW w:w="1307" w:type="dxa"/>
            <w:vAlign w:val="center"/>
          </w:tcPr>
          <w:p w:rsidR="003C7A7D" w:rsidRPr="00CE6154" w:rsidRDefault="003C7A7D" w:rsidP="003C7A7D">
            <w:pPr>
              <w:keepNext/>
              <w:spacing w:after="240"/>
              <w:jc w:val="center"/>
              <w:rPr>
                <w:rFonts w:ascii="Arial" w:hAnsi="Arial" w:cs="Arial"/>
                <w:sz w:val="20"/>
                <w:szCs w:val="20"/>
              </w:rPr>
            </w:pPr>
            <w:r>
              <w:rPr>
                <w:rFonts w:ascii="Arial" w:hAnsi="Arial" w:cs="Arial"/>
                <w:sz w:val="20"/>
                <w:szCs w:val="20"/>
              </w:rPr>
              <w:t>1.7</w:t>
            </w:r>
          </w:p>
        </w:tc>
        <w:tc>
          <w:tcPr>
            <w:tcW w:w="151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6.2</w:t>
            </w:r>
          </w:p>
        </w:tc>
        <w:tc>
          <w:tcPr>
            <w:tcW w:w="151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0.9</w:t>
            </w:r>
          </w:p>
        </w:tc>
        <w:tc>
          <w:tcPr>
            <w:tcW w:w="1714"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1.1</w:t>
            </w:r>
          </w:p>
        </w:tc>
        <w:tc>
          <w:tcPr>
            <w:tcW w:w="118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9.9</w:t>
            </w:r>
          </w:p>
        </w:tc>
      </w:tr>
      <w:tr w:rsidR="003C7A7D" w:rsidRPr="008148DA" w:rsidTr="003C7A7D">
        <w:trPr>
          <w:cantSplit/>
        </w:trPr>
        <w:tc>
          <w:tcPr>
            <w:tcW w:w="1808" w:type="dxa"/>
          </w:tcPr>
          <w:p w:rsidR="003C7A7D" w:rsidRPr="000A5A4A" w:rsidRDefault="003C7A7D" w:rsidP="003C7A7D">
            <w:pPr>
              <w:keepNext/>
              <w:spacing w:after="240"/>
              <w:rPr>
                <w:rFonts w:ascii="Arial" w:hAnsi="Arial" w:cs="Arial"/>
                <w:sz w:val="20"/>
                <w:szCs w:val="20"/>
              </w:rPr>
            </w:pPr>
            <w:r w:rsidRPr="00E82165">
              <w:rPr>
                <w:rFonts w:ascii="Arial" w:hAnsi="Arial" w:cs="Arial"/>
                <w:sz w:val="20"/>
                <w:szCs w:val="20"/>
              </w:rPr>
              <w:t xml:space="preserve">Maximum </w:t>
            </w:r>
            <w:r>
              <w:rPr>
                <w:rFonts w:ascii="Arial" w:hAnsi="Arial" w:cs="Arial"/>
                <w:sz w:val="20"/>
                <w:szCs w:val="20"/>
              </w:rPr>
              <w:t>estimated additional cost</w:t>
            </w:r>
            <w:r w:rsidRPr="00E82165">
              <w:rPr>
                <w:rFonts w:ascii="Arial" w:hAnsi="Arial" w:cs="Arial"/>
                <w:sz w:val="20"/>
                <w:szCs w:val="20"/>
              </w:rPr>
              <w:t xml:space="preserve"> ($m)</w:t>
            </w:r>
          </w:p>
        </w:tc>
        <w:tc>
          <w:tcPr>
            <w:tcW w:w="1307" w:type="dxa"/>
            <w:vAlign w:val="center"/>
          </w:tcPr>
          <w:p w:rsidR="003C7A7D" w:rsidRPr="00CE6154" w:rsidRDefault="003C7A7D" w:rsidP="003C7A7D">
            <w:pPr>
              <w:keepNext/>
              <w:spacing w:after="240"/>
              <w:jc w:val="center"/>
              <w:rPr>
                <w:rFonts w:ascii="Arial" w:hAnsi="Arial" w:cs="Arial"/>
                <w:sz w:val="20"/>
                <w:szCs w:val="20"/>
              </w:rPr>
            </w:pPr>
            <w:r>
              <w:rPr>
                <w:rFonts w:ascii="Arial" w:hAnsi="Arial" w:cs="Arial"/>
                <w:sz w:val="20"/>
                <w:szCs w:val="20"/>
              </w:rPr>
              <w:t>5.1</w:t>
            </w:r>
          </w:p>
        </w:tc>
        <w:tc>
          <w:tcPr>
            <w:tcW w:w="151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20.6</w:t>
            </w:r>
          </w:p>
        </w:tc>
        <w:tc>
          <w:tcPr>
            <w:tcW w:w="151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5.4</w:t>
            </w:r>
          </w:p>
        </w:tc>
        <w:tc>
          <w:tcPr>
            <w:tcW w:w="1714"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3.9</w:t>
            </w:r>
          </w:p>
        </w:tc>
        <w:tc>
          <w:tcPr>
            <w:tcW w:w="118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35.0</w:t>
            </w:r>
          </w:p>
        </w:tc>
      </w:tr>
      <w:tr w:rsidR="003C7A7D" w:rsidRPr="008148DA" w:rsidTr="003C7A7D">
        <w:trPr>
          <w:cantSplit/>
        </w:trPr>
        <w:tc>
          <w:tcPr>
            <w:tcW w:w="1808" w:type="dxa"/>
          </w:tcPr>
          <w:p w:rsidR="003C7A7D" w:rsidRPr="000A5A4A" w:rsidRDefault="003C7A7D" w:rsidP="003C7A7D">
            <w:pPr>
              <w:keepNext/>
              <w:spacing w:after="240"/>
              <w:rPr>
                <w:rFonts w:ascii="Arial" w:hAnsi="Arial" w:cs="Arial"/>
                <w:sz w:val="20"/>
                <w:szCs w:val="20"/>
              </w:rPr>
            </w:pPr>
            <w:r w:rsidRPr="00E82165">
              <w:rPr>
                <w:rFonts w:ascii="Arial" w:hAnsi="Arial" w:cs="Arial"/>
                <w:sz w:val="20"/>
                <w:szCs w:val="20"/>
              </w:rPr>
              <w:t>Midpoint estimate</w:t>
            </w:r>
            <w:r>
              <w:rPr>
                <w:rFonts w:ascii="Arial" w:hAnsi="Arial" w:cs="Arial"/>
                <w:sz w:val="20"/>
                <w:szCs w:val="20"/>
              </w:rPr>
              <w:t>d</w:t>
            </w:r>
            <w:r w:rsidRPr="00E82165">
              <w:rPr>
                <w:rFonts w:ascii="Arial" w:hAnsi="Arial" w:cs="Arial"/>
                <w:sz w:val="20"/>
                <w:szCs w:val="20"/>
              </w:rPr>
              <w:t xml:space="preserve"> additional costs ($m)</w:t>
            </w:r>
          </w:p>
        </w:tc>
        <w:tc>
          <w:tcPr>
            <w:tcW w:w="1307" w:type="dxa"/>
            <w:vAlign w:val="center"/>
          </w:tcPr>
          <w:p w:rsidR="003C7A7D" w:rsidRPr="00CE6154" w:rsidRDefault="003C7A7D" w:rsidP="003C7A7D">
            <w:pPr>
              <w:keepNext/>
              <w:spacing w:after="240"/>
              <w:jc w:val="center"/>
              <w:rPr>
                <w:rFonts w:ascii="Arial" w:hAnsi="Arial" w:cs="Arial"/>
                <w:sz w:val="20"/>
                <w:szCs w:val="20"/>
              </w:rPr>
            </w:pPr>
            <w:r>
              <w:rPr>
                <w:rFonts w:ascii="Arial" w:hAnsi="Arial" w:cs="Arial"/>
                <w:sz w:val="20"/>
                <w:szCs w:val="20"/>
              </w:rPr>
              <w:t>3.4</w:t>
            </w:r>
          </w:p>
        </w:tc>
        <w:tc>
          <w:tcPr>
            <w:tcW w:w="151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13.4</w:t>
            </w:r>
          </w:p>
        </w:tc>
        <w:tc>
          <w:tcPr>
            <w:tcW w:w="151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3.2</w:t>
            </w:r>
          </w:p>
        </w:tc>
        <w:tc>
          <w:tcPr>
            <w:tcW w:w="1714"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2.5</w:t>
            </w:r>
          </w:p>
        </w:tc>
        <w:tc>
          <w:tcPr>
            <w:tcW w:w="1180" w:type="dxa"/>
            <w:vAlign w:val="center"/>
          </w:tcPr>
          <w:p w:rsidR="003C7A7D" w:rsidRPr="0081579D" w:rsidRDefault="003C7A7D" w:rsidP="003C7A7D">
            <w:pPr>
              <w:keepNext/>
              <w:spacing w:after="240"/>
              <w:jc w:val="center"/>
              <w:rPr>
                <w:rFonts w:ascii="Arial" w:hAnsi="Arial" w:cs="Arial"/>
                <w:sz w:val="20"/>
                <w:szCs w:val="20"/>
              </w:rPr>
            </w:pPr>
            <w:r>
              <w:rPr>
                <w:rFonts w:ascii="Arial" w:hAnsi="Arial" w:cs="Arial"/>
                <w:sz w:val="20"/>
                <w:szCs w:val="20"/>
              </w:rPr>
              <w:t>22.5</w:t>
            </w:r>
          </w:p>
        </w:tc>
      </w:tr>
    </w:tbl>
    <w:p w:rsidR="003C7A7D" w:rsidRPr="00FB4694" w:rsidRDefault="003C7A7D" w:rsidP="003C7A7D">
      <w:pPr>
        <w:spacing w:after="240"/>
        <w:rPr>
          <w:rFonts w:ascii="Arial" w:hAnsi="Arial" w:cs="Arial"/>
        </w:rPr>
      </w:pPr>
    </w:p>
    <w:p w:rsidR="003C7A7D" w:rsidRDefault="003C7A7D" w:rsidP="003C7A7D">
      <w:pPr>
        <w:spacing w:after="240"/>
        <w:rPr>
          <w:rFonts w:ascii="Arial" w:hAnsi="Arial" w:cs="Arial"/>
          <w:b/>
          <w:u w:val="single"/>
        </w:rPr>
      </w:pPr>
      <w:r>
        <w:rPr>
          <w:rFonts w:ascii="Arial" w:hAnsi="Arial" w:cs="Arial"/>
          <w:b/>
          <w:u w:val="single"/>
        </w:rPr>
        <w:br w:type="page"/>
      </w:r>
    </w:p>
    <w:p w:rsidR="003C7A7D" w:rsidRPr="00D330EE" w:rsidRDefault="003C7A7D" w:rsidP="003C7A7D">
      <w:pPr>
        <w:spacing w:after="240"/>
        <w:rPr>
          <w:rFonts w:ascii="Arial" w:hAnsi="Arial" w:cs="Arial"/>
          <w:b/>
          <w:sz w:val="28"/>
          <w:szCs w:val="28"/>
        </w:rPr>
      </w:pPr>
      <w:r w:rsidRPr="00D330EE">
        <w:rPr>
          <w:rFonts w:ascii="Arial" w:hAnsi="Arial" w:cs="Arial"/>
          <w:b/>
          <w:sz w:val="28"/>
          <w:szCs w:val="28"/>
        </w:rPr>
        <w:t>Data and assumptions supporting substantive compliance, administrative and delay costs</w:t>
      </w:r>
    </w:p>
    <w:p w:rsidR="003C7A7D" w:rsidRPr="00FB4694" w:rsidRDefault="003C7A7D" w:rsidP="003C7A7D">
      <w:pPr>
        <w:spacing w:after="240"/>
        <w:rPr>
          <w:rFonts w:ascii="Arial" w:hAnsi="Arial" w:cs="Arial"/>
          <w:b/>
        </w:rPr>
      </w:pPr>
      <w:r w:rsidRPr="00FB4694">
        <w:rPr>
          <w:rFonts w:ascii="Arial" w:hAnsi="Arial" w:cs="Arial"/>
          <w:b/>
        </w:rPr>
        <w:t>Number of business</w:t>
      </w:r>
      <w:r>
        <w:rPr>
          <w:rFonts w:ascii="Arial" w:hAnsi="Arial" w:cs="Arial"/>
          <w:b/>
        </w:rPr>
        <w:t xml:space="preserve">es </w:t>
      </w:r>
      <w:r w:rsidRPr="00FB4694">
        <w:rPr>
          <w:rFonts w:ascii="Arial" w:hAnsi="Arial" w:cs="Arial"/>
          <w:b/>
        </w:rPr>
        <w:t>affected</w:t>
      </w:r>
    </w:p>
    <w:p w:rsidR="003C7A7D" w:rsidRDefault="003C7A7D" w:rsidP="003C7A7D">
      <w:pPr>
        <w:spacing w:after="240"/>
        <w:rPr>
          <w:rFonts w:ascii="Arial" w:hAnsi="Arial" w:cs="Arial"/>
        </w:rPr>
      </w:pPr>
      <w:r>
        <w:rPr>
          <w:rFonts w:ascii="Arial" w:hAnsi="Arial" w:cs="Arial"/>
        </w:rPr>
        <w:t>The Australian Bureau of Statistics (ABS) provides data on the number of retailers in the clothing and textile industries. Table A8.7 provides retailer data. Basing calculations on retailers is considered appropriate. Many retailers bypass wholesalers and source goods direct from the manufacturer. Basing cost estimates on wholesalers alone may underestimate costs.</w:t>
      </w:r>
    </w:p>
    <w:p w:rsidR="003C7A7D" w:rsidRPr="00FB4694" w:rsidRDefault="003C7A7D" w:rsidP="003C7A7D">
      <w:pPr>
        <w:keepNext/>
        <w:spacing w:after="120"/>
        <w:ind w:left="1440" w:hanging="1440"/>
        <w:rPr>
          <w:rFonts w:ascii="Arial" w:hAnsi="Arial" w:cs="Arial"/>
          <w:b/>
        </w:rPr>
      </w:pPr>
      <w:r w:rsidRPr="00FB4694">
        <w:rPr>
          <w:rFonts w:ascii="Arial" w:hAnsi="Arial" w:cs="Arial"/>
          <w:b/>
        </w:rPr>
        <w:t>Table A8.</w:t>
      </w:r>
      <w:r>
        <w:rPr>
          <w:rFonts w:ascii="Arial" w:hAnsi="Arial" w:cs="Arial"/>
          <w:b/>
        </w:rPr>
        <w:t>7</w:t>
      </w:r>
      <w:r w:rsidRPr="00FB4694">
        <w:rPr>
          <w:rFonts w:ascii="Arial" w:hAnsi="Arial" w:cs="Arial"/>
          <w:b/>
        </w:rPr>
        <w:t xml:space="preserve">: </w:t>
      </w:r>
      <w:r>
        <w:rPr>
          <w:rFonts w:ascii="Arial" w:hAnsi="Arial" w:cs="Arial"/>
          <w:b/>
        </w:rPr>
        <w:tab/>
      </w:r>
      <w:r w:rsidRPr="00FB4694">
        <w:rPr>
          <w:rFonts w:ascii="Arial" w:hAnsi="Arial" w:cs="Arial"/>
          <w:b/>
        </w:rPr>
        <w:t>Clothing and Manchester and other textile goods retailer</w:t>
      </w:r>
      <w:r>
        <w:rPr>
          <w:rFonts w:ascii="Arial" w:hAnsi="Arial" w:cs="Arial"/>
          <w:b/>
        </w:rPr>
        <w:t>s</w:t>
      </w:r>
      <w:r w:rsidRPr="00FB4694">
        <w:rPr>
          <w:rFonts w:ascii="Arial" w:hAnsi="Arial" w:cs="Arial"/>
          <w:b/>
        </w:rPr>
        <w:t xml:space="preserve"> at </w:t>
      </w:r>
      <w:r>
        <w:rPr>
          <w:rFonts w:ascii="Arial" w:hAnsi="Arial" w:cs="Arial"/>
          <w:b/>
        </w:rPr>
        <w:t>30 </w:t>
      </w:r>
      <w:r w:rsidRPr="00FB4694">
        <w:rPr>
          <w:rFonts w:ascii="Arial" w:hAnsi="Arial" w:cs="Arial"/>
          <w:b/>
        </w:rPr>
        <w:t>June</w:t>
      </w:r>
      <w:r>
        <w:rPr>
          <w:rFonts w:ascii="Arial" w:hAnsi="Arial" w:cs="Arial"/>
          <w:b/>
        </w:rPr>
        <w:t> </w:t>
      </w:r>
      <w:r w:rsidRPr="00FB4694">
        <w:rPr>
          <w:rFonts w:ascii="Arial" w:hAnsi="Arial" w:cs="Arial"/>
          <w:b/>
        </w:rPr>
        <w:t>2013</w:t>
      </w:r>
      <w:r>
        <w:rPr>
          <w:rStyle w:val="FootnoteReference"/>
          <w:rFonts w:ascii="Arial" w:hAnsi="Arial" w:cs="Arial"/>
        </w:rPr>
        <w:footnoteReference w:id="114"/>
      </w:r>
    </w:p>
    <w:tbl>
      <w:tblPr>
        <w:tblStyle w:val="TableGrid"/>
        <w:tblW w:w="0" w:type="auto"/>
        <w:tblBorders>
          <w:top w:val="single" w:sz="12" w:space="0" w:color="auto"/>
          <w:left w:val="none" w:sz="0" w:space="0" w:color="auto"/>
          <w:bottom w:val="single" w:sz="12" w:space="0" w:color="auto"/>
          <w:right w:val="none" w:sz="0" w:space="0" w:color="auto"/>
          <w:insideH w:val="single" w:sz="2" w:space="0" w:color="auto"/>
          <w:insideV w:val="none" w:sz="0" w:space="0" w:color="auto"/>
        </w:tblBorders>
        <w:tblLook w:val="04A0" w:firstRow="1" w:lastRow="0" w:firstColumn="1" w:lastColumn="0" w:noHBand="0" w:noVBand="1"/>
      </w:tblPr>
      <w:tblGrid>
        <w:gridCol w:w="1540"/>
        <w:gridCol w:w="1541"/>
        <w:gridCol w:w="1541"/>
        <w:gridCol w:w="1541"/>
        <w:gridCol w:w="1541"/>
        <w:gridCol w:w="1541"/>
      </w:tblGrid>
      <w:tr w:rsidR="003C7A7D" w:rsidRPr="00C01E37" w:rsidTr="003C7A7D">
        <w:tc>
          <w:tcPr>
            <w:tcW w:w="1540" w:type="dxa"/>
            <w:tcBorders>
              <w:top w:val="single" w:sz="12" w:space="0" w:color="auto"/>
              <w:bottom w:val="single" w:sz="12" w:space="0" w:color="auto"/>
            </w:tcBorders>
          </w:tcPr>
          <w:p w:rsidR="003C7A7D" w:rsidRPr="00FB4694" w:rsidRDefault="003C7A7D" w:rsidP="003C7A7D">
            <w:pPr>
              <w:spacing w:after="240"/>
              <w:jc w:val="center"/>
              <w:rPr>
                <w:rFonts w:ascii="Arial" w:hAnsi="Arial" w:cs="Arial"/>
                <w:b/>
                <w:sz w:val="20"/>
                <w:szCs w:val="20"/>
              </w:rPr>
            </w:pPr>
            <w:r w:rsidRPr="00FB4694">
              <w:rPr>
                <w:rFonts w:ascii="Arial" w:hAnsi="Arial" w:cs="Arial"/>
                <w:b/>
                <w:sz w:val="20"/>
                <w:szCs w:val="20"/>
              </w:rPr>
              <w:t>Stakeholder</w:t>
            </w:r>
          </w:p>
        </w:tc>
        <w:tc>
          <w:tcPr>
            <w:tcW w:w="1541" w:type="dxa"/>
            <w:tcBorders>
              <w:top w:val="single" w:sz="12" w:space="0" w:color="auto"/>
              <w:bottom w:val="single" w:sz="12" w:space="0" w:color="auto"/>
            </w:tcBorders>
          </w:tcPr>
          <w:p w:rsidR="003C7A7D" w:rsidRPr="00FB4694" w:rsidRDefault="003C7A7D" w:rsidP="003C7A7D">
            <w:pPr>
              <w:spacing w:after="240"/>
              <w:jc w:val="center"/>
              <w:rPr>
                <w:rFonts w:ascii="Arial" w:hAnsi="Arial" w:cs="Arial"/>
                <w:b/>
                <w:sz w:val="20"/>
                <w:szCs w:val="20"/>
              </w:rPr>
            </w:pPr>
            <w:r w:rsidRPr="00FB4694">
              <w:rPr>
                <w:rFonts w:ascii="Arial" w:hAnsi="Arial" w:cs="Arial"/>
                <w:b/>
                <w:sz w:val="20"/>
                <w:szCs w:val="20"/>
              </w:rPr>
              <w:t>Non-employing</w:t>
            </w:r>
            <w:r w:rsidRPr="00FB4694">
              <w:rPr>
                <w:rStyle w:val="FootnoteReference"/>
                <w:rFonts w:ascii="Arial" w:hAnsi="Arial" w:cs="Arial"/>
                <w:b/>
                <w:sz w:val="20"/>
                <w:szCs w:val="20"/>
              </w:rPr>
              <w:footnoteReference w:id="115"/>
            </w:r>
          </w:p>
        </w:tc>
        <w:tc>
          <w:tcPr>
            <w:tcW w:w="1541" w:type="dxa"/>
            <w:tcBorders>
              <w:top w:val="single" w:sz="12" w:space="0" w:color="auto"/>
              <w:bottom w:val="single" w:sz="12" w:space="0" w:color="auto"/>
            </w:tcBorders>
          </w:tcPr>
          <w:p w:rsidR="003C7A7D" w:rsidRPr="00FB4694" w:rsidRDefault="003C7A7D" w:rsidP="003C7A7D">
            <w:pPr>
              <w:spacing w:after="240"/>
              <w:jc w:val="center"/>
              <w:rPr>
                <w:rFonts w:ascii="Arial" w:hAnsi="Arial" w:cs="Arial"/>
                <w:b/>
                <w:sz w:val="20"/>
                <w:szCs w:val="20"/>
              </w:rPr>
            </w:pPr>
            <w:r w:rsidRPr="00FB4694">
              <w:rPr>
                <w:rFonts w:ascii="Arial" w:hAnsi="Arial" w:cs="Arial"/>
                <w:b/>
                <w:sz w:val="20"/>
                <w:szCs w:val="20"/>
              </w:rPr>
              <w:t>Small</w:t>
            </w:r>
          </w:p>
          <w:p w:rsidR="003C7A7D" w:rsidRPr="00FB4694" w:rsidRDefault="003C7A7D" w:rsidP="003C7A7D">
            <w:pPr>
              <w:spacing w:after="240"/>
              <w:jc w:val="center"/>
              <w:rPr>
                <w:rFonts w:ascii="Arial" w:hAnsi="Arial" w:cs="Arial"/>
                <w:b/>
                <w:sz w:val="20"/>
                <w:szCs w:val="20"/>
              </w:rPr>
            </w:pPr>
            <w:r w:rsidRPr="00FB4694">
              <w:rPr>
                <w:rFonts w:ascii="Arial" w:hAnsi="Arial" w:cs="Arial"/>
                <w:b/>
                <w:sz w:val="20"/>
                <w:szCs w:val="20"/>
              </w:rPr>
              <w:t>1-19 employees</w:t>
            </w:r>
          </w:p>
        </w:tc>
        <w:tc>
          <w:tcPr>
            <w:tcW w:w="1541" w:type="dxa"/>
            <w:tcBorders>
              <w:top w:val="single" w:sz="12" w:space="0" w:color="auto"/>
              <w:bottom w:val="single" w:sz="12" w:space="0" w:color="auto"/>
            </w:tcBorders>
          </w:tcPr>
          <w:p w:rsidR="003C7A7D" w:rsidRPr="00FB4694" w:rsidRDefault="003C7A7D" w:rsidP="003C7A7D">
            <w:pPr>
              <w:spacing w:after="240"/>
              <w:jc w:val="center"/>
              <w:rPr>
                <w:rFonts w:ascii="Arial" w:hAnsi="Arial" w:cs="Arial"/>
                <w:b/>
                <w:sz w:val="20"/>
                <w:szCs w:val="20"/>
              </w:rPr>
            </w:pPr>
            <w:r w:rsidRPr="00FB4694">
              <w:rPr>
                <w:rFonts w:ascii="Arial" w:hAnsi="Arial" w:cs="Arial"/>
                <w:b/>
                <w:sz w:val="20"/>
                <w:szCs w:val="20"/>
              </w:rPr>
              <w:t>Medium</w:t>
            </w:r>
          </w:p>
          <w:p w:rsidR="003C7A7D" w:rsidRPr="00FB4694" w:rsidRDefault="003C7A7D" w:rsidP="003C7A7D">
            <w:pPr>
              <w:spacing w:after="240"/>
              <w:jc w:val="center"/>
              <w:rPr>
                <w:rFonts w:ascii="Arial" w:hAnsi="Arial" w:cs="Arial"/>
                <w:b/>
                <w:sz w:val="20"/>
                <w:szCs w:val="20"/>
              </w:rPr>
            </w:pPr>
            <w:r w:rsidRPr="00FB4694">
              <w:rPr>
                <w:rFonts w:ascii="Arial" w:hAnsi="Arial" w:cs="Arial"/>
                <w:b/>
                <w:sz w:val="20"/>
                <w:szCs w:val="20"/>
              </w:rPr>
              <w:t>20-199 employees</w:t>
            </w:r>
          </w:p>
        </w:tc>
        <w:tc>
          <w:tcPr>
            <w:tcW w:w="1541" w:type="dxa"/>
            <w:tcBorders>
              <w:top w:val="single" w:sz="12" w:space="0" w:color="auto"/>
              <w:bottom w:val="single" w:sz="12" w:space="0" w:color="auto"/>
            </w:tcBorders>
          </w:tcPr>
          <w:p w:rsidR="003C7A7D" w:rsidRPr="00FB4694" w:rsidRDefault="003C7A7D" w:rsidP="003C7A7D">
            <w:pPr>
              <w:spacing w:after="240"/>
              <w:jc w:val="center"/>
              <w:rPr>
                <w:rFonts w:ascii="Arial" w:hAnsi="Arial" w:cs="Arial"/>
                <w:b/>
                <w:sz w:val="20"/>
                <w:szCs w:val="20"/>
              </w:rPr>
            </w:pPr>
            <w:r w:rsidRPr="00FB4694">
              <w:rPr>
                <w:rFonts w:ascii="Arial" w:hAnsi="Arial" w:cs="Arial"/>
                <w:b/>
                <w:sz w:val="20"/>
                <w:szCs w:val="20"/>
              </w:rPr>
              <w:t>Large</w:t>
            </w:r>
          </w:p>
          <w:p w:rsidR="003C7A7D" w:rsidRPr="00FB4694" w:rsidRDefault="003C7A7D" w:rsidP="003C7A7D">
            <w:pPr>
              <w:spacing w:after="240"/>
              <w:jc w:val="center"/>
              <w:rPr>
                <w:rFonts w:ascii="Arial" w:hAnsi="Arial" w:cs="Arial"/>
                <w:b/>
                <w:sz w:val="20"/>
                <w:szCs w:val="20"/>
              </w:rPr>
            </w:pPr>
            <w:r w:rsidRPr="00FB4694">
              <w:rPr>
                <w:rFonts w:ascii="Arial" w:hAnsi="Arial" w:cs="Arial"/>
                <w:b/>
                <w:sz w:val="20"/>
                <w:szCs w:val="20"/>
              </w:rPr>
              <w:t>200+ employees</w:t>
            </w:r>
          </w:p>
        </w:tc>
        <w:tc>
          <w:tcPr>
            <w:tcW w:w="1541" w:type="dxa"/>
            <w:tcBorders>
              <w:top w:val="single" w:sz="12" w:space="0" w:color="auto"/>
              <w:bottom w:val="single" w:sz="12" w:space="0" w:color="auto"/>
            </w:tcBorders>
          </w:tcPr>
          <w:p w:rsidR="003C7A7D" w:rsidRPr="00FB4694" w:rsidRDefault="003C7A7D" w:rsidP="003C7A7D">
            <w:pPr>
              <w:spacing w:after="240"/>
              <w:jc w:val="center"/>
              <w:rPr>
                <w:rFonts w:ascii="Arial" w:hAnsi="Arial" w:cs="Arial"/>
                <w:b/>
                <w:sz w:val="20"/>
                <w:szCs w:val="20"/>
              </w:rPr>
            </w:pPr>
            <w:r w:rsidRPr="00FB4694">
              <w:rPr>
                <w:rFonts w:ascii="Arial" w:hAnsi="Arial" w:cs="Arial"/>
                <w:b/>
                <w:sz w:val="20"/>
                <w:szCs w:val="20"/>
              </w:rPr>
              <w:t>Total</w:t>
            </w:r>
          </w:p>
        </w:tc>
      </w:tr>
      <w:tr w:rsidR="003C7A7D" w:rsidRPr="00C01E37" w:rsidTr="003C7A7D">
        <w:tc>
          <w:tcPr>
            <w:tcW w:w="1540" w:type="dxa"/>
            <w:tcBorders>
              <w:top w:val="single" w:sz="12" w:space="0" w:color="auto"/>
            </w:tcBorders>
          </w:tcPr>
          <w:p w:rsidR="003C7A7D" w:rsidRPr="00FB4694" w:rsidRDefault="003C7A7D" w:rsidP="003C7A7D">
            <w:pPr>
              <w:spacing w:after="240"/>
              <w:rPr>
                <w:rFonts w:ascii="Arial" w:hAnsi="Arial" w:cs="Arial"/>
                <w:sz w:val="20"/>
                <w:szCs w:val="20"/>
              </w:rPr>
            </w:pPr>
            <w:r w:rsidRPr="00FB4694">
              <w:rPr>
                <w:rFonts w:ascii="Arial" w:hAnsi="Arial" w:cs="Arial"/>
                <w:sz w:val="20"/>
                <w:szCs w:val="20"/>
              </w:rPr>
              <w:t>Clothing retailers</w:t>
            </w:r>
          </w:p>
        </w:tc>
        <w:tc>
          <w:tcPr>
            <w:tcW w:w="1541" w:type="dxa"/>
            <w:tcBorders>
              <w:top w:val="single" w:sz="12" w:space="0" w:color="auto"/>
            </w:tcBorders>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4901</w:t>
            </w:r>
          </w:p>
        </w:tc>
        <w:tc>
          <w:tcPr>
            <w:tcW w:w="1541" w:type="dxa"/>
            <w:tcBorders>
              <w:top w:val="single" w:sz="12" w:space="0" w:color="auto"/>
            </w:tcBorders>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6067</w:t>
            </w:r>
          </w:p>
        </w:tc>
        <w:tc>
          <w:tcPr>
            <w:tcW w:w="1541" w:type="dxa"/>
            <w:tcBorders>
              <w:top w:val="single" w:sz="12" w:space="0" w:color="auto"/>
            </w:tcBorders>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294</w:t>
            </w:r>
          </w:p>
        </w:tc>
        <w:tc>
          <w:tcPr>
            <w:tcW w:w="1541" w:type="dxa"/>
            <w:tcBorders>
              <w:top w:val="single" w:sz="12" w:space="0" w:color="auto"/>
            </w:tcBorders>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58</w:t>
            </w:r>
          </w:p>
        </w:tc>
        <w:tc>
          <w:tcPr>
            <w:tcW w:w="1541" w:type="dxa"/>
            <w:tcBorders>
              <w:top w:val="single" w:sz="12" w:space="0" w:color="auto"/>
            </w:tcBorders>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11320</w:t>
            </w:r>
          </w:p>
        </w:tc>
      </w:tr>
      <w:tr w:rsidR="003C7A7D" w:rsidRPr="00C01E37" w:rsidTr="003C7A7D">
        <w:tc>
          <w:tcPr>
            <w:tcW w:w="1540" w:type="dxa"/>
          </w:tcPr>
          <w:p w:rsidR="003C7A7D" w:rsidRPr="00FB4694" w:rsidRDefault="003C7A7D" w:rsidP="003C7A7D">
            <w:pPr>
              <w:spacing w:after="240"/>
              <w:rPr>
                <w:rFonts w:ascii="Arial" w:hAnsi="Arial" w:cs="Arial"/>
                <w:sz w:val="20"/>
                <w:szCs w:val="20"/>
              </w:rPr>
            </w:pPr>
            <w:r w:rsidRPr="00FB4694">
              <w:rPr>
                <w:rFonts w:ascii="Arial" w:hAnsi="Arial" w:cs="Arial"/>
                <w:sz w:val="20"/>
                <w:szCs w:val="20"/>
              </w:rPr>
              <w:t>Manchester and other textile goods retailers</w:t>
            </w:r>
          </w:p>
        </w:tc>
        <w:tc>
          <w:tcPr>
            <w:tcW w:w="1541" w:type="dxa"/>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767</w:t>
            </w:r>
          </w:p>
        </w:tc>
        <w:tc>
          <w:tcPr>
            <w:tcW w:w="1541" w:type="dxa"/>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798</w:t>
            </w:r>
          </w:p>
        </w:tc>
        <w:tc>
          <w:tcPr>
            <w:tcW w:w="1541" w:type="dxa"/>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16</w:t>
            </w:r>
          </w:p>
        </w:tc>
        <w:tc>
          <w:tcPr>
            <w:tcW w:w="1541" w:type="dxa"/>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4</w:t>
            </w:r>
          </w:p>
        </w:tc>
        <w:tc>
          <w:tcPr>
            <w:tcW w:w="1541" w:type="dxa"/>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1585</w:t>
            </w:r>
          </w:p>
        </w:tc>
      </w:tr>
    </w:tbl>
    <w:p w:rsidR="003C7A7D" w:rsidRDefault="003C7A7D" w:rsidP="003C7A7D">
      <w:pPr>
        <w:spacing w:after="240"/>
        <w:rPr>
          <w:rFonts w:ascii="Arial" w:hAnsi="Arial" w:cs="Arial"/>
        </w:rPr>
      </w:pPr>
    </w:p>
    <w:p w:rsidR="003C7A7D" w:rsidRPr="00FB4694" w:rsidRDefault="003C7A7D" w:rsidP="003C7A7D">
      <w:pPr>
        <w:spacing w:after="240"/>
        <w:rPr>
          <w:rFonts w:ascii="Arial" w:hAnsi="Arial" w:cs="Arial"/>
          <w:b/>
        </w:rPr>
      </w:pPr>
      <w:r w:rsidRPr="00FB4694">
        <w:rPr>
          <w:rFonts w:ascii="Arial" w:hAnsi="Arial" w:cs="Arial"/>
          <w:b/>
        </w:rPr>
        <w:t>Estimated number of tests required to gauge compliance with regulation</w:t>
      </w:r>
    </w:p>
    <w:p w:rsidR="003C7A7D" w:rsidRDefault="003C7A7D" w:rsidP="003C7A7D">
      <w:pPr>
        <w:spacing w:after="240"/>
        <w:rPr>
          <w:rFonts w:ascii="Arial" w:hAnsi="Arial" w:cs="Arial"/>
        </w:rPr>
      </w:pPr>
      <w:r>
        <w:rPr>
          <w:rFonts w:ascii="Arial" w:hAnsi="Arial" w:cs="Arial"/>
        </w:rPr>
        <w:t>The number of tests that business may need to conduct has been estimated based on industry submissions to the call for information paper and ACCC discussion with stakeholders. Table A8.8 sets out the estimated minimum and maximum tests based on the size of businesses.</w:t>
      </w:r>
    </w:p>
    <w:p w:rsidR="003C7A7D" w:rsidRPr="00FB4694" w:rsidRDefault="003C7A7D" w:rsidP="003C7A7D">
      <w:pPr>
        <w:keepNext/>
        <w:spacing w:after="120"/>
        <w:rPr>
          <w:rFonts w:ascii="Arial" w:hAnsi="Arial" w:cs="Arial"/>
          <w:b/>
        </w:rPr>
      </w:pPr>
      <w:r w:rsidRPr="00FB4694">
        <w:rPr>
          <w:rFonts w:ascii="Arial" w:hAnsi="Arial" w:cs="Arial"/>
          <w:b/>
        </w:rPr>
        <w:lastRenderedPageBreak/>
        <w:t>Table A8.</w:t>
      </w:r>
      <w:r>
        <w:rPr>
          <w:rFonts w:ascii="Arial" w:hAnsi="Arial" w:cs="Arial"/>
          <w:b/>
        </w:rPr>
        <w:t>8</w:t>
      </w:r>
      <w:r w:rsidRPr="00FB4694">
        <w:rPr>
          <w:rFonts w:ascii="Arial" w:hAnsi="Arial" w:cs="Arial"/>
          <w:b/>
        </w:rPr>
        <w:t>:</w:t>
      </w:r>
      <w:r w:rsidRPr="00FB4694">
        <w:rPr>
          <w:rFonts w:ascii="Arial" w:hAnsi="Arial" w:cs="Arial"/>
          <w:b/>
        </w:rPr>
        <w:tab/>
        <w:t>Estimated number of compliance tests for each size of business</w:t>
      </w:r>
      <w:r>
        <w:rPr>
          <w:rStyle w:val="FootnoteReference"/>
          <w:rFonts w:ascii="Arial" w:hAnsi="Arial" w:cs="Arial"/>
          <w:b/>
        </w:rPr>
        <w:footnoteReference w:id="116"/>
      </w:r>
    </w:p>
    <w:tbl>
      <w:tblPr>
        <w:tblStyle w:val="TableGrid"/>
        <w:tblW w:w="0" w:type="auto"/>
        <w:tblBorders>
          <w:top w:val="single" w:sz="12" w:space="0" w:color="auto"/>
          <w:left w:val="none" w:sz="0" w:space="0" w:color="auto"/>
          <w:bottom w:val="single" w:sz="12" w:space="0" w:color="auto"/>
          <w:right w:val="none" w:sz="0" w:space="0" w:color="auto"/>
          <w:insideH w:val="single" w:sz="2" w:space="0" w:color="auto"/>
          <w:insideV w:val="none" w:sz="0" w:space="0" w:color="auto"/>
        </w:tblBorders>
        <w:tblLook w:val="04A0" w:firstRow="1" w:lastRow="0" w:firstColumn="1" w:lastColumn="0" w:noHBand="0" w:noVBand="1"/>
      </w:tblPr>
      <w:tblGrid>
        <w:gridCol w:w="2193"/>
        <w:gridCol w:w="1317"/>
        <w:gridCol w:w="1701"/>
        <w:gridCol w:w="1701"/>
        <w:gridCol w:w="2127"/>
      </w:tblGrid>
      <w:tr w:rsidR="003C7A7D" w:rsidRPr="008148DA" w:rsidTr="003C7A7D">
        <w:trPr>
          <w:cantSplit/>
        </w:trPr>
        <w:tc>
          <w:tcPr>
            <w:tcW w:w="2193" w:type="dxa"/>
            <w:tcBorders>
              <w:top w:val="single" w:sz="12" w:space="0" w:color="auto"/>
              <w:bottom w:val="single" w:sz="12" w:space="0" w:color="auto"/>
            </w:tcBorders>
          </w:tcPr>
          <w:p w:rsidR="003C7A7D" w:rsidRPr="00FB4694" w:rsidRDefault="003C7A7D" w:rsidP="003C7A7D">
            <w:pPr>
              <w:keepNext/>
              <w:spacing w:after="240"/>
              <w:rPr>
                <w:rFonts w:ascii="Arial" w:hAnsi="Arial" w:cs="Arial"/>
                <w:b/>
                <w:sz w:val="20"/>
                <w:szCs w:val="20"/>
              </w:rPr>
            </w:pPr>
            <w:r w:rsidRPr="00FB4694">
              <w:rPr>
                <w:rFonts w:ascii="Arial" w:hAnsi="Arial" w:cs="Arial"/>
                <w:b/>
                <w:sz w:val="20"/>
                <w:szCs w:val="20"/>
              </w:rPr>
              <w:t>Stakeholder</w:t>
            </w:r>
          </w:p>
        </w:tc>
        <w:tc>
          <w:tcPr>
            <w:tcW w:w="1317" w:type="dxa"/>
            <w:tcBorders>
              <w:top w:val="single" w:sz="12" w:space="0" w:color="auto"/>
              <w:bottom w:val="single" w:sz="12" w:space="0" w:color="auto"/>
            </w:tcBorders>
          </w:tcPr>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Non-employing</w:t>
            </w:r>
          </w:p>
        </w:tc>
        <w:tc>
          <w:tcPr>
            <w:tcW w:w="1701" w:type="dxa"/>
            <w:tcBorders>
              <w:top w:val="single" w:sz="12" w:space="0" w:color="auto"/>
              <w:bottom w:val="single" w:sz="12" w:space="0" w:color="auto"/>
            </w:tcBorders>
          </w:tcPr>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Small</w:t>
            </w:r>
          </w:p>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1-19 employees</w:t>
            </w:r>
          </w:p>
        </w:tc>
        <w:tc>
          <w:tcPr>
            <w:tcW w:w="1701" w:type="dxa"/>
            <w:tcBorders>
              <w:top w:val="single" w:sz="12" w:space="0" w:color="auto"/>
              <w:bottom w:val="single" w:sz="12" w:space="0" w:color="auto"/>
            </w:tcBorders>
          </w:tcPr>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Medium</w:t>
            </w:r>
          </w:p>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20-199 employees</w:t>
            </w:r>
          </w:p>
        </w:tc>
        <w:tc>
          <w:tcPr>
            <w:tcW w:w="2127" w:type="dxa"/>
            <w:tcBorders>
              <w:top w:val="single" w:sz="12" w:space="0" w:color="auto"/>
              <w:bottom w:val="single" w:sz="12" w:space="0" w:color="auto"/>
            </w:tcBorders>
          </w:tcPr>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Large</w:t>
            </w:r>
          </w:p>
          <w:p w:rsidR="003C7A7D" w:rsidRPr="00FB4694" w:rsidRDefault="003C7A7D" w:rsidP="003C7A7D">
            <w:pPr>
              <w:keepNext/>
              <w:spacing w:after="240"/>
              <w:jc w:val="center"/>
              <w:rPr>
                <w:rFonts w:ascii="Arial" w:hAnsi="Arial" w:cs="Arial"/>
                <w:b/>
                <w:sz w:val="20"/>
                <w:szCs w:val="20"/>
              </w:rPr>
            </w:pPr>
            <w:r w:rsidRPr="00FB4694">
              <w:rPr>
                <w:rFonts w:ascii="Arial" w:hAnsi="Arial" w:cs="Arial"/>
                <w:b/>
                <w:sz w:val="20"/>
                <w:szCs w:val="20"/>
              </w:rPr>
              <w:t>200+ employees</w:t>
            </w:r>
          </w:p>
        </w:tc>
      </w:tr>
      <w:tr w:rsidR="003C7A7D" w:rsidRPr="008148DA" w:rsidTr="003C7A7D">
        <w:trPr>
          <w:cantSplit/>
        </w:trPr>
        <w:tc>
          <w:tcPr>
            <w:tcW w:w="2193" w:type="dxa"/>
            <w:tcBorders>
              <w:top w:val="single" w:sz="12" w:space="0" w:color="auto"/>
            </w:tcBorders>
          </w:tcPr>
          <w:p w:rsidR="003C7A7D" w:rsidRPr="00FB4694" w:rsidRDefault="003C7A7D" w:rsidP="003C7A7D">
            <w:pPr>
              <w:keepNext/>
              <w:spacing w:after="240"/>
              <w:rPr>
                <w:rFonts w:ascii="Arial" w:hAnsi="Arial" w:cs="Arial"/>
                <w:b/>
                <w:sz w:val="20"/>
                <w:szCs w:val="20"/>
              </w:rPr>
            </w:pPr>
            <w:r w:rsidRPr="00FB4694">
              <w:rPr>
                <w:rFonts w:ascii="Arial" w:hAnsi="Arial" w:cs="Arial"/>
                <w:b/>
                <w:sz w:val="20"/>
                <w:szCs w:val="20"/>
              </w:rPr>
              <w:t>Clothing retailers</w:t>
            </w:r>
          </w:p>
        </w:tc>
        <w:tc>
          <w:tcPr>
            <w:tcW w:w="1317" w:type="dxa"/>
            <w:tcBorders>
              <w:top w:val="single" w:sz="12" w:space="0" w:color="auto"/>
            </w:tcBorders>
          </w:tcPr>
          <w:p w:rsidR="003C7A7D" w:rsidRPr="00FB4694" w:rsidRDefault="003C7A7D" w:rsidP="003C7A7D">
            <w:pPr>
              <w:keepNext/>
              <w:spacing w:after="240"/>
              <w:jc w:val="center"/>
              <w:rPr>
                <w:rFonts w:ascii="Arial" w:hAnsi="Arial" w:cs="Arial"/>
                <w:b/>
                <w:sz w:val="20"/>
                <w:szCs w:val="20"/>
              </w:rPr>
            </w:pPr>
          </w:p>
        </w:tc>
        <w:tc>
          <w:tcPr>
            <w:tcW w:w="1701" w:type="dxa"/>
            <w:tcBorders>
              <w:top w:val="single" w:sz="12" w:space="0" w:color="auto"/>
            </w:tcBorders>
          </w:tcPr>
          <w:p w:rsidR="003C7A7D" w:rsidRPr="00FB4694" w:rsidRDefault="003C7A7D" w:rsidP="003C7A7D">
            <w:pPr>
              <w:keepNext/>
              <w:spacing w:after="240"/>
              <w:jc w:val="center"/>
              <w:rPr>
                <w:rFonts w:ascii="Arial" w:hAnsi="Arial" w:cs="Arial"/>
                <w:b/>
                <w:sz w:val="20"/>
                <w:szCs w:val="20"/>
              </w:rPr>
            </w:pPr>
          </w:p>
        </w:tc>
        <w:tc>
          <w:tcPr>
            <w:tcW w:w="1701" w:type="dxa"/>
            <w:tcBorders>
              <w:top w:val="single" w:sz="12" w:space="0" w:color="auto"/>
            </w:tcBorders>
          </w:tcPr>
          <w:p w:rsidR="003C7A7D" w:rsidRPr="00FB4694" w:rsidRDefault="003C7A7D" w:rsidP="003C7A7D">
            <w:pPr>
              <w:keepNext/>
              <w:spacing w:after="240"/>
              <w:jc w:val="center"/>
              <w:rPr>
                <w:rFonts w:ascii="Arial" w:hAnsi="Arial" w:cs="Arial"/>
                <w:b/>
                <w:sz w:val="20"/>
                <w:szCs w:val="20"/>
              </w:rPr>
            </w:pPr>
          </w:p>
        </w:tc>
        <w:tc>
          <w:tcPr>
            <w:tcW w:w="2127" w:type="dxa"/>
            <w:tcBorders>
              <w:top w:val="single" w:sz="12" w:space="0" w:color="auto"/>
            </w:tcBorders>
          </w:tcPr>
          <w:p w:rsidR="003C7A7D" w:rsidRPr="00FB4694" w:rsidRDefault="003C7A7D" w:rsidP="003C7A7D">
            <w:pPr>
              <w:keepNext/>
              <w:spacing w:after="240"/>
              <w:jc w:val="center"/>
              <w:rPr>
                <w:rFonts w:ascii="Arial" w:hAnsi="Arial" w:cs="Arial"/>
                <w:b/>
                <w:sz w:val="20"/>
                <w:szCs w:val="20"/>
              </w:rPr>
            </w:pPr>
          </w:p>
        </w:tc>
      </w:tr>
      <w:tr w:rsidR="003C7A7D" w:rsidRPr="008148DA" w:rsidTr="003C7A7D">
        <w:trPr>
          <w:cantSplit/>
        </w:trPr>
        <w:tc>
          <w:tcPr>
            <w:tcW w:w="2193" w:type="dxa"/>
          </w:tcPr>
          <w:p w:rsidR="003C7A7D" w:rsidRPr="00FB4694" w:rsidRDefault="003C7A7D" w:rsidP="003C7A7D">
            <w:pPr>
              <w:keepNext/>
              <w:spacing w:after="240"/>
              <w:rPr>
                <w:rFonts w:ascii="Arial" w:hAnsi="Arial" w:cs="Arial"/>
                <w:sz w:val="20"/>
                <w:szCs w:val="20"/>
              </w:rPr>
            </w:pPr>
            <w:r w:rsidRPr="00FB4694">
              <w:rPr>
                <w:rFonts w:ascii="Arial" w:hAnsi="Arial" w:cs="Arial"/>
                <w:sz w:val="20"/>
                <w:szCs w:val="20"/>
              </w:rPr>
              <w:t>Minimum number of tests per business</w:t>
            </w:r>
          </w:p>
        </w:tc>
        <w:tc>
          <w:tcPr>
            <w:tcW w:w="1317" w:type="dxa"/>
            <w:vAlign w:val="center"/>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1</w:t>
            </w:r>
          </w:p>
        </w:tc>
        <w:tc>
          <w:tcPr>
            <w:tcW w:w="1701" w:type="dxa"/>
            <w:vAlign w:val="center"/>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10</w:t>
            </w:r>
          </w:p>
        </w:tc>
        <w:tc>
          <w:tcPr>
            <w:tcW w:w="1701" w:type="dxa"/>
            <w:vAlign w:val="center"/>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50</w:t>
            </w:r>
          </w:p>
        </w:tc>
        <w:tc>
          <w:tcPr>
            <w:tcW w:w="2127" w:type="dxa"/>
            <w:vAlign w:val="center"/>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300</w:t>
            </w:r>
          </w:p>
        </w:tc>
      </w:tr>
      <w:tr w:rsidR="003C7A7D" w:rsidRPr="008148DA" w:rsidTr="003C7A7D">
        <w:trPr>
          <w:cantSplit/>
        </w:trPr>
        <w:tc>
          <w:tcPr>
            <w:tcW w:w="2193" w:type="dxa"/>
          </w:tcPr>
          <w:p w:rsidR="003C7A7D" w:rsidRPr="00FB4694" w:rsidRDefault="003C7A7D" w:rsidP="003C7A7D">
            <w:pPr>
              <w:keepNext/>
              <w:spacing w:after="240"/>
              <w:rPr>
                <w:rFonts w:ascii="Arial" w:hAnsi="Arial" w:cs="Arial"/>
                <w:sz w:val="20"/>
                <w:szCs w:val="20"/>
              </w:rPr>
            </w:pPr>
            <w:r w:rsidRPr="00FB4694">
              <w:rPr>
                <w:rFonts w:ascii="Arial" w:hAnsi="Arial" w:cs="Arial"/>
                <w:sz w:val="20"/>
                <w:szCs w:val="20"/>
              </w:rPr>
              <w:t>Maximum number of tests per business</w:t>
            </w:r>
          </w:p>
        </w:tc>
        <w:tc>
          <w:tcPr>
            <w:tcW w:w="1317" w:type="dxa"/>
            <w:vAlign w:val="center"/>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10</w:t>
            </w:r>
          </w:p>
        </w:tc>
        <w:tc>
          <w:tcPr>
            <w:tcW w:w="1701" w:type="dxa"/>
            <w:vAlign w:val="center"/>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50</w:t>
            </w:r>
          </w:p>
        </w:tc>
        <w:tc>
          <w:tcPr>
            <w:tcW w:w="1701" w:type="dxa"/>
            <w:vAlign w:val="center"/>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300</w:t>
            </w:r>
          </w:p>
        </w:tc>
        <w:tc>
          <w:tcPr>
            <w:tcW w:w="2127" w:type="dxa"/>
            <w:vAlign w:val="center"/>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1100</w:t>
            </w:r>
          </w:p>
        </w:tc>
      </w:tr>
      <w:tr w:rsidR="003C7A7D" w:rsidRPr="008148DA" w:rsidTr="003C7A7D">
        <w:trPr>
          <w:cantSplit/>
        </w:trPr>
        <w:tc>
          <w:tcPr>
            <w:tcW w:w="2193" w:type="dxa"/>
          </w:tcPr>
          <w:p w:rsidR="003C7A7D" w:rsidRPr="00FB4694" w:rsidRDefault="003C7A7D" w:rsidP="003C7A7D">
            <w:pPr>
              <w:keepNext/>
              <w:spacing w:after="240"/>
              <w:rPr>
                <w:rFonts w:ascii="Arial" w:hAnsi="Arial" w:cs="Arial"/>
                <w:b/>
                <w:sz w:val="20"/>
                <w:szCs w:val="20"/>
              </w:rPr>
            </w:pPr>
            <w:r w:rsidRPr="00FB4694">
              <w:rPr>
                <w:rFonts w:ascii="Arial" w:hAnsi="Arial" w:cs="Arial"/>
                <w:b/>
                <w:sz w:val="20"/>
                <w:szCs w:val="20"/>
              </w:rPr>
              <w:t>Manchester and other textile goods retailers</w:t>
            </w:r>
          </w:p>
        </w:tc>
        <w:tc>
          <w:tcPr>
            <w:tcW w:w="1317" w:type="dxa"/>
            <w:vAlign w:val="center"/>
          </w:tcPr>
          <w:p w:rsidR="003C7A7D" w:rsidRPr="00FB4694" w:rsidRDefault="003C7A7D" w:rsidP="003C7A7D">
            <w:pPr>
              <w:keepNext/>
              <w:spacing w:after="240"/>
              <w:jc w:val="center"/>
              <w:rPr>
                <w:rFonts w:ascii="Arial" w:hAnsi="Arial" w:cs="Arial"/>
                <w:b/>
                <w:sz w:val="20"/>
                <w:szCs w:val="20"/>
              </w:rPr>
            </w:pPr>
          </w:p>
        </w:tc>
        <w:tc>
          <w:tcPr>
            <w:tcW w:w="1701" w:type="dxa"/>
            <w:vAlign w:val="center"/>
          </w:tcPr>
          <w:p w:rsidR="003C7A7D" w:rsidRPr="00FB4694" w:rsidRDefault="003C7A7D" w:rsidP="003C7A7D">
            <w:pPr>
              <w:keepNext/>
              <w:spacing w:after="240"/>
              <w:jc w:val="center"/>
              <w:rPr>
                <w:rFonts w:ascii="Arial" w:hAnsi="Arial" w:cs="Arial"/>
                <w:b/>
                <w:sz w:val="20"/>
                <w:szCs w:val="20"/>
              </w:rPr>
            </w:pPr>
          </w:p>
        </w:tc>
        <w:tc>
          <w:tcPr>
            <w:tcW w:w="1701" w:type="dxa"/>
            <w:vAlign w:val="center"/>
          </w:tcPr>
          <w:p w:rsidR="003C7A7D" w:rsidRPr="00FB4694" w:rsidRDefault="003C7A7D" w:rsidP="003C7A7D">
            <w:pPr>
              <w:keepNext/>
              <w:spacing w:after="240"/>
              <w:jc w:val="center"/>
              <w:rPr>
                <w:rFonts w:ascii="Arial" w:hAnsi="Arial" w:cs="Arial"/>
                <w:b/>
                <w:sz w:val="20"/>
                <w:szCs w:val="20"/>
              </w:rPr>
            </w:pPr>
          </w:p>
        </w:tc>
        <w:tc>
          <w:tcPr>
            <w:tcW w:w="2127" w:type="dxa"/>
            <w:vAlign w:val="center"/>
          </w:tcPr>
          <w:p w:rsidR="003C7A7D" w:rsidRPr="00FB4694" w:rsidRDefault="003C7A7D" w:rsidP="003C7A7D">
            <w:pPr>
              <w:keepNext/>
              <w:spacing w:after="240"/>
              <w:jc w:val="center"/>
              <w:rPr>
                <w:rFonts w:ascii="Arial" w:hAnsi="Arial" w:cs="Arial"/>
                <w:b/>
                <w:sz w:val="20"/>
                <w:szCs w:val="20"/>
              </w:rPr>
            </w:pPr>
          </w:p>
        </w:tc>
      </w:tr>
      <w:tr w:rsidR="003C7A7D" w:rsidRPr="008148DA" w:rsidTr="003C7A7D">
        <w:trPr>
          <w:cantSplit/>
        </w:trPr>
        <w:tc>
          <w:tcPr>
            <w:tcW w:w="2193" w:type="dxa"/>
          </w:tcPr>
          <w:p w:rsidR="003C7A7D" w:rsidRPr="00FB4694" w:rsidRDefault="003C7A7D" w:rsidP="003C7A7D">
            <w:pPr>
              <w:keepNext/>
              <w:spacing w:after="240"/>
              <w:rPr>
                <w:rFonts w:ascii="Arial" w:hAnsi="Arial" w:cs="Arial"/>
                <w:sz w:val="20"/>
                <w:szCs w:val="20"/>
              </w:rPr>
            </w:pPr>
            <w:r w:rsidRPr="00FB4694">
              <w:rPr>
                <w:rFonts w:ascii="Arial" w:hAnsi="Arial" w:cs="Arial"/>
                <w:sz w:val="20"/>
                <w:szCs w:val="20"/>
              </w:rPr>
              <w:t>Minimum number of tests per business</w:t>
            </w:r>
          </w:p>
        </w:tc>
        <w:tc>
          <w:tcPr>
            <w:tcW w:w="1317" w:type="dxa"/>
            <w:vAlign w:val="center"/>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1</w:t>
            </w:r>
          </w:p>
        </w:tc>
        <w:tc>
          <w:tcPr>
            <w:tcW w:w="1701" w:type="dxa"/>
            <w:vAlign w:val="center"/>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10</w:t>
            </w:r>
          </w:p>
        </w:tc>
        <w:tc>
          <w:tcPr>
            <w:tcW w:w="1701" w:type="dxa"/>
            <w:vAlign w:val="center"/>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50</w:t>
            </w:r>
          </w:p>
        </w:tc>
        <w:tc>
          <w:tcPr>
            <w:tcW w:w="2127" w:type="dxa"/>
            <w:vAlign w:val="center"/>
          </w:tcPr>
          <w:p w:rsidR="003C7A7D" w:rsidRPr="00FB4694" w:rsidRDefault="003C7A7D" w:rsidP="003C7A7D">
            <w:pPr>
              <w:keepNext/>
              <w:spacing w:after="240"/>
              <w:jc w:val="center"/>
              <w:rPr>
                <w:rFonts w:ascii="Arial" w:hAnsi="Arial" w:cs="Arial"/>
                <w:sz w:val="20"/>
                <w:szCs w:val="20"/>
              </w:rPr>
            </w:pPr>
            <w:r w:rsidRPr="00FB4694">
              <w:rPr>
                <w:rFonts w:ascii="Arial" w:hAnsi="Arial" w:cs="Arial"/>
                <w:sz w:val="20"/>
                <w:szCs w:val="20"/>
              </w:rPr>
              <w:t>200</w:t>
            </w:r>
          </w:p>
        </w:tc>
      </w:tr>
      <w:tr w:rsidR="003C7A7D" w:rsidRPr="008148DA" w:rsidTr="003C7A7D">
        <w:trPr>
          <w:cantSplit/>
        </w:trPr>
        <w:tc>
          <w:tcPr>
            <w:tcW w:w="2193" w:type="dxa"/>
          </w:tcPr>
          <w:p w:rsidR="003C7A7D" w:rsidRPr="00FB4694" w:rsidRDefault="003C7A7D" w:rsidP="003C7A7D">
            <w:pPr>
              <w:spacing w:after="240"/>
              <w:rPr>
                <w:rFonts w:ascii="Arial" w:hAnsi="Arial" w:cs="Arial"/>
                <w:sz w:val="20"/>
                <w:szCs w:val="20"/>
              </w:rPr>
            </w:pPr>
            <w:r w:rsidRPr="00FB4694">
              <w:rPr>
                <w:rFonts w:ascii="Arial" w:hAnsi="Arial" w:cs="Arial"/>
                <w:sz w:val="20"/>
                <w:szCs w:val="20"/>
              </w:rPr>
              <w:t>Maximum number of tests per business</w:t>
            </w:r>
          </w:p>
        </w:tc>
        <w:tc>
          <w:tcPr>
            <w:tcW w:w="1317" w:type="dxa"/>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10</w:t>
            </w:r>
          </w:p>
        </w:tc>
        <w:tc>
          <w:tcPr>
            <w:tcW w:w="1701" w:type="dxa"/>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50</w:t>
            </w:r>
          </w:p>
        </w:tc>
        <w:tc>
          <w:tcPr>
            <w:tcW w:w="1701" w:type="dxa"/>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200</w:t>
            </w:r>
          </w:p>
        </w:tc>
        <w:tc>
          <w:tcPr>
            <w:tcW w:w="2127" w:type="dxa"/>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1000</w:t>
            </w:r>
          </w:p>
        </w:tc>
      </w:tr>
    </w:tbl>
    <w:p w:rsidR="003C7A7D" w:rsidRDefault="003C7A7D" w:rsidP="003C7A7D">
      <w:pPr>
        <w:spacing w:after="240"/>
        <w:rPr>
          <w:rFonts w:ascii="Arial" w:hAnsi="Arial" w:cs="Arial"/>
        </w:rPr>
      </w:pPr>
    </w:p>
    <w:p w:rsidR="003C7A7D" w:rsidRPr="00FB4694" w:rsidRDefault="003C7A7D" w:rsidP="003C7A7D">
      <w:pPr>
        <w:spacing w:after="240"/>
        <w:rPr>
          <w:rFonts w:ascii="Arial" w:hAnsi="Arial" w:cs="Arial"/>
          <w:b/>
        </w:rPr>
      </w:pPr>
      <w:r w:rsidRPr="00FB4694">
        <w:rPr>
          <w:rFonts w:ascii="Arial" w:hAnsi="Arial" w:cs="Arial"/>
          <w:b/>
        </w:rPr>
        <w:t>The cost of testing</w:t>
      </w:r>
    </w:p>
    <w:p w:rsidR="003C7A7D" w:rsidRDefault="003C7A7D" w:rsidP="003C7A7D">
      <w:pPr>
        <w:spacing w:after="240"/>
        <w:rPr>
          <w:rFonts w:ascii="Arial" w:hAnsi="Arial" w:cs="Arial"/>
        </w:rPr>
      </w:pPr>
      <w:r>
        <w:rPr>
          <w:rFonts w:ascii="Arial" w:hAnsi="Arial" w:cs="Arial"/>
        </w:rPr>
        <w:t>The cost of testing is set out in Table A8.9. Some garments require more than one test per garment. For example, a pair of jeans may require a test on the garment shell and another test on the pocket lining which will be in direct contact with the skin. The costs are based on the price per test offered to the ACCC and information provided to the ACCC from stakeholders. Some businesses conducting large numbers of testing may be able to negotiate volume discounts with test laboratories.</w:t>
      </w:r>
    </w:p>
    <w:p w:rsidR="003C7A7D" w:rsidRPr="00FB4694" w:rsidRDefault="003C7A7D" w:rsidP="003C7A7D">
      <w:pPr>
        <w:keepNext/>
        <w:spacing w:after="120"/>
        <w:rPr>
          <w:rFonts w:ascii="Arial" w:hAnsi="Arial" w:cs="Arial"/>
          <w:b/>
        </w:rPr>
      </w:pPr>
      <w:r w:rsidRPr="00FB4694">
        <w:rPr>
          <w:rFonts w:ascii="Arial" w:hAnsi="Arial" w:cs="Arial"/>
          <w:b/>
        </w:rPr>
        <w:t>Table A8.</w:t>
      </w:r>
      <w:r>
        <w:rPr>
          <w:rFonts w:ascii="Arial" w:hAnsi="Arial" w:cs="Arial"/>
          <w:b/>
        </w:rPr>
        <w:t>9</w:t>
      </w:r>
      <w:r w:rsidRPr="00FB4694">
        <w:rPr>
          <w:rFonts w:ascii="Arial" w:hAnsi="Arial" w:cs="Arial"/>
          <w:b/>
        </w:rPr>
        <w:t>:</w:t>
      </w:r>
      <w:r w:rsidRPr="00FB4694">
        <w:rPr>
          <w:rFonts w:ascii="Arial" w:hAnsi="Arial" w:cs="Arial"/>
          <w:b/>
        </w:rPr>
        <w:tab/>
        <w:t>Cost of testing</w:t>
      </w:r>
    </w:p>
    <w:tbl>
      <w:tblPr>
        <w:tblStyle w:val="TableGrid"/>
        <w:tblW w:w="0" w:type="auto"/>
        <w:tblBorders>
          <w:top w:val="single" w:sz="12" w:space="0" w:color="auto"/>
          <w:left w:val="none" w:sz="0" w:space="0" w:color="auto"/>
          <w:bottom w:val="single" w:sz="12" w:space="0" w:color="auto"/>
          <w:right w:val="none" w:sz="0" w:space="0" w:color="auto"/>
          <w:insideH w:val="single" w:sz="2" w:space="0" w:color="auto"/>
          <w:insideV w:val="none" w:sz="0" w:space="0" w:color="auto"/>
        </w:tblBorders>
        <w:tblLook w:val="04A0" w:firstRow="1" w:lastRow="0" w:firstColumn="1" w:lastColumn="0" w:noHBand="0" w:noVBand="1"/>
      </w:tblPr>
      <w:tblGrid>
        <w:gridCol w:w="3510"/>
        <w:gridCol w:w="2268"/>
      </w:tblGrid>
      <w:tr w:rsidR="003C7A7D" w:rsidRPr="008148DA" w:rsidTr="003C7A7D">
        <w:tc>
          <w:tcPr>
            <w:tcW w:w="3510" w:type="dxa"/>
            <w:tcBorders>
              <w:top w:val="single" w:sz="12" w:space="0" w:color="auto"/>
              <w:bottom w:val="single" w:sz="12" w:space="0" w:color="auto"/>
            </w:tcBorders>
          </w:tcPr>
          <w:p w:rsidR="003C7A7D" w:rsidRPr="00FB4694" w:rsidRDefault="003C7A7D" w:rsidP="003C7A7D">
            <w:pPr>
              <w:spacing w:after="240"/>
              <w:rPr>
                <w:rFonts w:ascii="Arial" w:hAnsi="Arial" w:cs="Arial"/>
                <w:b/>
                <w:sz w:val="20"/>
                <w:szCs w:val="20"/>
              </w:rPr>
            </w:pPr>
            <w:r w:rsidRPr="00FB4694">
              <w:rPr>
                <w:rFonts w:ascii="Arial" w:hAnsi="Arial" w:cs="Arial"/>
                <w:b/>
                <w:sz w:val="20"/>
                <w:szCs w:val="20"/>
              </w:rPr>
              <w:t>Price and exchange rate</w:t>
            </w:r>
          </w:p>
        </w:tc>
        <w:tc>
          <w:tcPr>
            <w:tcW w:w="2268" w:type="dxa"/>
            <w:tcBorders>
              <w:top w:val="single" w:sz="12" w:space="0" w:color="auto"/>
              <w:bottom w:val="single" w:sz="12" w:space="0" w:color="auto"/>
            </w:tcBorders>
          </w:tcPr>
          <w:p w:rsidR="003C7A7D" w:rsidRPr="00FB4694" w:rsidRDefault="003C7A7D" w:rsidP="003C7A7D">
            <w:pPr>
              <w:spacing w:after="240"/>
              <w:jc w:val="center"/>
              <w:rPr>
                <w:rFonts w:ascii="Arial" w:hAnsi="Arial" w:cs="Arial"/>
                <w:b/>
                <w:sz w:val="20"/>
                <w:szCs w:val="20"/>
              </w:rPr>
            </w:pPr>
            <w:r w:rsidRPr="00FB4694">
              <w:rPr>
                <w:rFonts w:ascii="Arial" w:hAnsi="Arial" w:cs="Arial"/>
                <w:b/>
                <w:sz w:val="20"/>
                <w:szCs w:val="20"/>
              </w:rPr>
              <w:t>Amount per test</w:t>
            </w:r>
          </w:p>
        </w:tc>
      </w:tr>
      <w:tr w:rsidR="003C7A7D" w:rsidRPr="008148DA" w:rsidTr="003C7A7D">
        <w:tc>
          <w:tcPr>
            <w:tcW w:w="3510" w:type="dxa"/>
            <w:tcBorders>
              <w:top w:val="single" w:sz="12" w:space="0" w:color="auto"/>
            </w:tcBorders>
            <w:vAlign w:val="center"/>
          </w:tcPr>
          <w:p w:rsidR="003C7A7D" w:rsidRPr="00FB4694" w:rsidRDefault="003C7A7D" w:rsidP="003C7A7D">
            <w:pPr>
              <w:spacing w:after="240"/>
              <w:rPr>
                <w:rFonts w:ascii="Arial" w:hAnsi="Arial" w:cs="Arial"/>
                <w:sz w:val="20"/>
                <w:szCs w:val="20"/>
              </w:rPr>
            </w:pPr>
            <w:r w:rsidRPr="00FB4694">
              <w:rPr>
                <w:rFonts w:ascii="Arial" w:hAnsi="Arial" w:cs="Arial"/>
                <w:sz w:val="20"/>
                <w:szCs w:val="20"/>
              </w:rPr>
              <w:t>Cost per test (USD)</w:t>
            </w:r>
            <w:r w:rsidRPr="00FB4694">
              <w:rPr>
                <w:rStyle w:val="FootnoteReference"/>
                <w:rFonts w:ascii="Arial" w:hAnsi="Arial" w:cs="Arial"/>
                <w:sz w:val="20"/>
                <w:szCs w:val="20"/>
              </w:rPr>
              <w:footnoteReference w:id="117"/>
            </w:r>
          </w:p>
        </w:tc>
        <w:tc>
          <w:tcPr>
            <w:tcW w:w="2268" w:type="dxa"/>
            <w:tcBorders>
              <w:top w:val="single" w:sz="12" w:space="0" w:color="auto"/>
            </w:tcBorders>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$62</w:t>
            </w:r>
          </w:p>
        </w:tc>
      </w:tr>
      <w:tr w:rsidR="003C7A7D" w:rsidRPr="008148DA" w:rsidTr="003C7A7D">
        <w:tc>
          <w:tcPr>
            <w:tcW w:w="3510" w:type="dxa"/>
            <w:vAlign w:val="center"/>
          </w:tcPr>
          <w:p w:rsidR="003C7A7D" w:rsidRPr="00FB4694" w:rsidRDefault="003C7A7D" w:rsidP="003C7A7D">
            <w:pPr>
              <w:spacing w:after="240"/>
              <w:rPr>
                <w:rFonts w:ascii="Arial" w:hAnsi="Arial" w:cs="Arial"/>
                <w:sz w:val="20"/>
                <w:szCs w:val="20"/>
              </w:rPr>
            </w:pPr>
            <w:r w:rsidRPr="00FB4694">
              <w:rPr>
                <w:rFonts w:ascii="Arial" w:hAnsi="Arial" w:cs="Arial"/>
                <w:sz w:val="20"/>
                <w:szCs w:val="20"/>
              </w:rPr>
              <w:t>USD:AUD exchange rate</w:t>
            </w:r>
          </w:p>
        </w:tc>
        <w:tc>
          <w:tcPr>
            <w:tcW w:w="2268" w:type="dxa"/>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1.15</w:t>
            </w:r>
          </w:p>
        </w:tc>
      </w:tr>
      <w:tr w:rsidR="003C7A7D" w:rsidRPr="008148DA" w:rsidTr="003C7A7D">
        <w:tc>
          <w:tcPr>
            <w:tcW w:w="3510" w:type="dxa"/>
            <w:vAlign w:val="center"/>
          </w:tcPr>
          <w:p w:rsidR="003C7A7D" w:rsidRPr="00FB4694" w:rsidRDefault="003C7A7D" w:rsidP="003C7A7D">
            <w:pPr>
              <w:spacing w:after="240"/>
              <w:rPr>
                <w:rFonts w:ascii="Arial" w:hAnsi="Arial" w:cs="Arial"/>
                <w:sz w:val="20"/>
                <w:szCs w:val="20"/>
              </w:rPr>
            </w:pPr>
            <w:r w:rsidRPr="00FB4694">
              <w:rPr>
                <w:rFonts w:ascii="Arial" w:hAnsi="Arial" w:cs="Arial"/>
                <w:sz w:val="20"/>
                <w:szCs w:val="20"/>
              </w:rPr>
              <w:t>Cost per test (AUD)</w:t>
            </w:r>
          </w:p>
        </w:tc>
        <w:tc>
          <w:tcPr>
            <w:tcW w:w="2268" w:type="dxa"/>
            <w:vAlign w:val="center"/>
          </w:tcPr>
          <w:p w:rsidR="003C7A7D" w:rsidRPr="00FB4694" w:rsidRDefault="003C7A7D" w:rsidP="003C7A7D">
            <w:pPr>
              <w:spacing w:after="240"/>
              <w:jc w:val="center"/>
              <w:rPr>
                <w:rFonts w:ascii="Arial" w:hAnsi="Arial" w:cs="Arial"/>
                <w:sz w:val="20"/>
                <w:szCs w:val="20"/>
              </w:rPr>
            </w:pPr>
            <w:r w:rsidRPr="00FB4694">
              <w:rPr>
                <w:rFonts w:ascii="Arial" w:hAnsi="Arial" w:cs="Arial"/>
                <w:sz w:val="20"/>
                <w:szCs w:val="20"/>
              </w:rPr>
              <w:t>$71.30</w:t>
            </w:r>
          </w:p>
        </w:tc>
      </w:tr>
    </w:tbl>
    <w:p w:rsidR="003C7A7D" w:rsidRDefault="003C7A7D" w:rsidP="003C7A7D">
      <w:pPr>
        <w:spacing w:after="240"/>
        <w:rPr>
          <w:rFonts w:ascii="Arial" w:hAnsi="Arial" w:cs="Arial"/>
        </w:rPr>
      </w:pPr>
    </w:p>
    <w:p w:rsidR="003C7A7D" w:rsidRDefault="003C7A7D" w:rsidP="003C7A7D">
      <w:pPr>
        <w:keepNext/>
        <w:spacing w:after="240"/>
        <w:rPr>
          <w:rFonts w:ascii="Arial" w:hAnsi="Arial" w:cs="Arial"/>
          <w:b/>
        </w:rPr>
      </w:pPr>
      <w:r>
        <w:rPr>
          <w:rFonts w:ascii="Arial" w:hAnsi="Arial" w:cs="Arial"/>
          <w:b/>
        </w:rPr>
        <w:lastRenderedPageBreak/>
        <w:t>Business compliance staff hourly rate</w:t>
      </w:r>
    </w:p>
    <w:p w:rsidR="003C7A7D" w:rsidRDefault="003C7A7D" w:rsidP="003C7A7D">
      <w:pPr>
        <w:keepNext/>
        <w:spacing w:after="240"/>
        <w:rPr>
          <w:rFonts w:ascii="Arial" w:hAnsi="Arial" w:cs="Arial"/>
        </w:rPr>
      </w:pPr>
      <w:proofErr w:type="gramStart"/>
      <w:r w:rsidRPr="00FB4694">
        <w:rPr>
          <w:rFonts w:ascii="Arial" w:hAnsi="Arial" w:cs="Arial"/>
        </w:rPr>
        <w:t>Table A8.</w:t>
      </w:r>
      <w:r>
        <w:rPr>
          <w:rFonts w:ascii="Arial" w:hAnsi="Arial" w:cs="Arial"/>
        </w:rPr>
        <w:t>10 sets out the estimated hourly rate for compliance staff.</w:t>
      </w:r>
      <w:proofErr w:type="gramEnd"/>
      <w:r>
        <w:rPr>
          <w:rFonts w:ascii="Arial" w:hAnsi="Arial" w:cs="Arial"/>
        </w:rPr>
        <w:t xml:space="preserve"> The rate and scaling factor of 1.75 takes account of wages, non-wage labour costs and overheads. It is based on figures provided by OBPR.</w:t>
      </w:r>
      <w:r>
        <w:rPr>
          <w:rStyle w:val="FootnoteReference"/>
          <w:rFonts w:ascii="Arial" w:hAnsi="Arial" w:cs="Arial"/>
        </w:rPr>
        <w:footnoteReference w:id="118"/>
      </w:r>
    </w:p>
    <w:p w:rsidR="003C7A7D" w:rsidRPr="00FB4694" w:rsidRDefault="003C7A7D" w:rsidP="003C7A7D">
      <w:pPr>
        <w:keepNext/>
        <w:spacing w:after="120"/>
        <w:rPr>
          <w:rFonts w:ascii="Arial" w:hAnsi="Arial" w:cs="Arial"/>
          <w:b/>
        </w:rPr>
      </w:pPr>
      <w:r w:rsidRPr="00FB4694">
        <w:rPr>
          <w:rFonts w:ascii="Arial" w:hAnsi="Arial" w:cs="Arial"/>
          <w:b/>
        </w:rPr>
        <w:t>Table A8.</w:t>
      </w:r>
      <w:r>
        <w:rPr>
          <w:rFonts w:ascii="Arial" w:hAnsi="Arial" w:cs="Arial"/>
          <w:b/>
        </w:rPr>
        <w:t>10</w:t>
      </w:r>
      <w:r w:rsidRPr="00FB4694">
        <w:rPr>
          <w:rFonts w:ascii="Arial" w:hAnsi="Arial" w:cs="Arial"/>
          <w:b/>
        </w:rPr>
        <w:t>:</w:t>
      </w:r>
      <w:r w:rsidRPr="00FB4694">
        <w:rPr>
          <w:rFonts w:ascii="Arial" w:hAnsi="Arial" w:cs="Arial"/>
          <w:b/>
        </w:rPr>
        <w:tab/>
        <w:t>Compliance officer hourly rate</w:t>
      </w:r>
    </w:p>
    <w:tbl>
      <w:tblPr>
        <w:tblStyle w:val="TableGrid"/>
        <w:tblW w:w="0" w:type="auto"/>
        <w:tblBorders>
          <w:top w:val="single" w:sz="12" w:space="0" w:color="auto"/>
          <w:left w:val="none" w:sz="0" w:space="0" w:color="auto"/>
          <w:bottom w:val="single" w:sz="12" w:space="0" w:color="auto"/>
          <w:right w:val="none" w:sz="0" w:space="0" w:color="auto"/>
          <w:insideH w:val="single" w:sz="2" w:space="0" w:color="auto"/>
          <w:insideV w:val="none" w:sz="0" w:space="0" w:color="auto"/>
        </w:tblBorders>
        <w:tblLook w:val="04A0" w:firstRow="1" w:lastRow="0" w:firstColumn="1" w:lastColumn="0" w:noHBand="0" w:noVBand="1"/>
      </w:tblPr>
      <w:tblGrid>
        <w:gridCol w:w="3510"/>
        <w:gridCol w:w="2268"/>
      </w:tblGrid>
      <w:tr w:rsidR="003C7A7D" w:rsidRPr="008148DA" w:rsidTr="003C7A7D">
        <w:tc>
          <w:tcPr>
            <w:tcW w:w="3510" w:type="dxa"/>
            <w:tcBorders>
              <w:top w:val="single" w:sz="12" w:space="0" w:color="auto"/>
              <w:bottom w:val="single" w:sz="12" w:space="0" w:color="auto"/>
            </w:tcBorders>
          </w:tcPr>
          <w:p w:rsidR="003C7A7D" w:rsidRPr="00E82165" w:rsidRDefault="003C7A7D" w:rsidP="003C7A7D">
            <w:pPr>
              <w:keepNext/>
              <w:spacing w:after="240"/>
              <w:rPr>
                <w:rFonts w:ascii="Arial" w:hAnsi="Arial" w:cs="Arial"/>
                <w:b/>
                <w:sz w:val="20"/>
                <w:szCs w:val="20"/>
              </w:rPr>
            </w:pPr>
            <w:r>
              <w:rPr>
                <w:rFonts w:ascii="Arial" w:hAnsi="Arial" w:cs="Arial"/>
                <w:b/>
                <w:sz w:val="20"/>
                <w:szCs w:val="20"/>
              </w:rPr>
              <w:t>Labour cost</w:t>
            </w:r>
          </w:p>
        </w:tc>
        <w:tc>
          <w:tcPr>
            <w:tcW w:w="2268" w:type="dxa"/>
            <w:tcBorders>
              <w:top w:val="single" w:sz="12" w:space="0" w:color="auto"/>
              <w:bottom w:val="single" w:sz="12" w:space="0" w:color="auto"/>
            </w:tcBorders>
          </w:tcPr>
          <w:p w:rsidR="003C7A7D" w:rsidRPr="00E82165" w:rsidRDefault="003C7A7D" w:rsidP="003C7A7D">
            <w:pPr>
              <w:keepNext/>
              <w:spacing w:after="240"/>
              <w:jc w:val="center"/>
              <w:rPr>
                <w:rFonts w:ascii="Arial" w:hAnsi="Arial" w:cs="Arial"/>
                <w:b/>
                <w:sz w:val="20"/>
                <w:szCs w:val="20"/>
              </w:rPr>
            </w:pPr>
            <w:r>
              <w:rPr>
                <w:rFonts w:ascii="Arial" w:hAnsi="Arial" w:cs="Arial"/>
                <w:b/>
                <w:sz w:val="20"/>
                <w:szCs w:val="20"/>
              </w:rPr>
              <w:t>Rate</w:t>
            </w:r>
          </w:p>
        </w:tc>
      </w:tr>
      <w:tr w:rsidR="003C7A7D" w:rsidRPr="008148DA" w:rsidTr="003C7A7D">
        <w:tc>
          <w:tcPr>
            <w:tcW w:w="3510" w:type="dxa"/>
            <w:tcBorders>
              <w:top w:val="single" w:sz="12" w:space="0" w:color="auto"/>
            </w:tcBorders>
          </w:tcPr>
          <w:p w:rsidR="003C7A7D" w:rsidRPr="00E82165" w:rsidRDefault="003C7A7D" w:rsidP="003C7A7D">
            <w:pPr>
              <w:keepNext/>
              <w:spacing w:after="240"/>
              <w:rPr>
                <w:rFonts w:ascii="Arial" w:hAnsi="Arial" w:cs="Arial"/>
                <w:sz w:val="20"/>
                <w:szCs w:val="20"/>
              </w:rPr>
            </w:pPr>
            <w:r>
              <w:rPr>
                <w:rFonts w:ascii="Arial" w:hAnsi="Arial" w:cs="Arial"/>
                <w:sz w:val="20"/>
                <w:szCs w:val="20"/>
              </w:rPr>
              <w:t>Labour hourly rate</w:t>
            </w:r>
          </w:p>
        </w:tc>
        <w:tc>
          <w:tcPr>
            <w:tcW w:w="2268" w:type="dxa"/>
            <w:tcBorders>
              <w:top w:val="single" w:sz="12" w:space="0" w:color="auto"/>
            </w:tcBorders>
          </w:tcPr>
          <w:p w:rsidR="003C7A7D" w:rsidRPr="00E82165" w:rsidRDefault="003C7A7D" w:rsidP="003C7A7D">
            <w:pPr>
              <w:keepNext/>
              <w:spacing w:after="240"/>
              <w:jc w:val="center"/>
              <w:rPr>
                <w:rFonts w:ascii="Arial" w:hAnsi="Arial" w:cs="Arial"/>
                <w:sz w:val="20"/>
                <w:szCs w:val="20"/>
              </w:rPr>
            </w:pPr>
            <w:r>
              <w:rPr>
                <w:rFonts w:ascii="Arial" w:hAnsi="Arial" w:cs="Arial"/>
                <w:sz w:val="20"/>
                <w:szCs w:val="20"/>
              </w:rPr>
              <w:t>$34.02</w:t>
            </w:r>
          </w:p>
        </w:tc>
      </w:tr>
      <w:tr w:rsidR="003C7A7D" w:rsidRPr="008148DA" w:rsidTr="003C7A7D">
        <w:tc>
          <w:tcPr>
            <w:tcW w:w="3510" w:type="dxa"/>
          </w:tcPr>
          <w:p w:rsidR="003C7A7D" w:rsidRPr="00E82165" w:rsidRDefault="003C7A7D" w:rsidP="003C7A7D">
            <w:pPr>
              <w:keepNext/>
              <w:spacing w:after="240"/>
              <w:rPr>
                <w:rFonts w:ascii="Arial" w:hAnsi="Arial" w:cs="Arial"/>
                <w:sz w:val="20"/>
                <w:szCs w:val="20"/>
              </w:rPr>
            </w:pPr>
            <w:r w:rsidRPr="001D645A">
              <w:rPr>
                <w:rFonts w:ascii="Arial" w:hAnsi="Arial" w:cs="Arial"/>
                <w:sz w:val="20"/>
                <w:szCs w:val="20"/>
              </w:rPr>
              <w:t xml:space="preserve">Hourly rate multiplier to account for non-wage labour </w:t>
            </w:r>
            <w:r>
              <w:rPr>
                <w:rFonts w:ascii="Arial" w:hAnsi="Arial" w:cs="Arial"/>
                <w:sz w:val="20"/>
                <w:szCs w:val="20"/>
              </w:rPr>
              <w:t>and overheads</w:t>
            </w:r>
          </w:p>
        </w:tc>
        <w:tc>
          <w:tcPr>
            <w:tcW w:w="2268" w:type="dxa"/>
          </w:tcPr>
          <w:p w:rsidR="003C7A7D" w:rsidRPr="00E82165" w:rsidRDefault="003C7A7D" w:rsidP="003C7A7D">
            <w:pPr>
              <w:keepNext/>
              <w:spacing w:after="240"/>
              <w:jc w:val="center"/>
              <w:rPr>
                <w:rFonts w:ascii="Arial" w:hAnsi="Arial" w:cs="Arial"/>
                <w:sz w:val="20"/>
                <w:szCs w:val="20"/>
              </w:rPr>
            </w:pPr>
            <w:r w:rsidRPr="00E82165">
              <w:rPr>
                <w:rFonts w:ascii="Arial" w:hAnsi="Arial" w:cs="Arial"/>
                <w:sz w:val="20"/>
                <w:szCs w:val="20"/>
              </w:rPr>
              <w:t>1.</w:t>
            </w:r>
            <w:r>
              <w:rPr>
                <w:rFonts w:ascii="Arial" w:hAnsi="Arial" w:cs="Arial"/>
                <w:sz w:val="20"/>
                <w:szCs w:val="20"/>
              </w:rPr>
              <w:t>75</w:t>
            </w:r>
          </w:p>
        </w:tc>
      </w:tr>
      <w:tr w:rsidR="003C7A7D" w:rsidRPr="008148DA" w:rsidTr="003C7A7D">
        <w:tc>
          <w:tcPr>
            <w:tcW w:w="3510" w:type="dxa"/>
          </w:tcPr>
          <w:p w:rsidR="003C7A7D" w:rsidRPr="00E82165" w:rsidRDefault="003C7A7D" w:rsidP="003C7A7D">
            <w:pPr>
              <w:spacing w:after="240"/>
              <w:rPr>
                <w:rFonts w:ascii="Arial" w:hAnsi="Arial" w:cs="Arial"/>
                <w:sz w:val="20"/>
                <w:szCs w:val="20"/>
              </w:rPr>
            </w:pPr>
            <w:r>
              <w:rPr>
                <w:rFonts w:ascii="Arial" w:hAnsi="Arial" w:cs="Arial"/>
                <w:sz w:val="20"/>
                <w:szCs w:val="20"/>
              </w:rPr>
              <w:t>Gross labour hourly rate</w:t>
            </w:r>
          </w:p>
        </w:tc>
        <w:tc>
          <w:tcPr>
            <w:tcW w:w="2268" w:type="dxa"/>
          </w:tcPr>
          <w:p w:rsidR="003C7A7D" w:rsidRPr="00E82165" w:rsidRDefault="003C7A7D" w:rsidP="003C7A7D">
            <w:pPr>
              <w:spacing w:after="240"/>
              <w:jc w:val="center"/>
              <w:rPr>
                <w:rFonts w:ascii="Arial" w:hAnsi="Arial" w:cs="Arial"/>
                <w:sz w:val="20"/>
                <w:szCs w:val="20"/>
              </w:rPr>
            </w:pPr>
            <w:r w:rsidRPr="00E82165">
              <w:rPr>
                <w:rFonts w:ascii="Arial" w:hAnsi="Arial" w:cs="Arial"/>
                <w:sz w:val="20"/>
                <w:szCs w:val="20"/>
              </w:rPr>
              <w:t>$</w:t>
            </w:r>
            <w:r>
              <w:rPr>
                <w:rFonts w:ascii="Arial" w:hAnsi="Arial" w:cs="Arial"/>
                <w:sz w:val="20"/>
                <w:szCs w:val="20"/>
              </w:rPr>
              <w:t>59.54</w:t>
            </w:r>
          </w:p>
        </w:tc>
      </w:tr>
    </w:tbl>
    <w:p w:rsidR="003C7A7D" w:rsidRDefault="003C7A7D" w:rsidP="003C7A7D">
      <w:pPr>
        <w:spacing w:after="240"/>
        <w:rPr>
          <w:rFonts w:ascii="Arial" w:hAnsi="Arial" w:cs="Arial"/>
        </w:rPr>
      </w:pPr>
    </w:p>
    <w:p w:rsidR="003C7A7D" w:rsidRPr="00D330EE" w:rsidRDefault="003C7A7D" w:rsidP="00D330EE">
      <w:pPr>
        <w:rPr>
          <w:rFonts w:ascii="Arial" w:hAnsi="Arial" w:cs="Arial"/>
          <w:b/>
          <w:sz w:val="28"/>
          <w:szCs w:val="28"/>
        </w:rPr>
      </w:pPr>
      <w:r w:rsidRPr="00D330EE">
        <w:rPr>
          <w:rFonts w:ascii="Arial" w:hAnsi="Arial" w:cs="Arial"/>
          <w:b/>
          <w:sz w:val="28"/>
          <w:szCs w:val="28"/>
        </w:rPr>
        <w:t>Stakeholder feedback on estimation of additional costs</w:t>
      </w:r>
    </w:p>
    <w:p w:rsidR="003C7A7D" w:rsidRPr="00D330EE" w:rsidRDefault="003C7A7D" w:rsidP="003C7A7D">
      <w:pPr>
        <w:spacing w:after="240"/>
        <w:rPr>
          <w:rFonts w:ascii="Arial" w:hAnsi="Arial" w:cs="Arial"/>
        </w:rPr>
      </w:pPr>
    </w:p>
    <w:p w:rsidR="003C7A7D" w:rsidRPr="00D330EE" w:rsidRDefault="003C7A7D" w:rsidP="003C7A7D">
      <w:pPr>
        <w:spacing w:after="240"/>
        <w:rPr>
          <w:rFonts w:ascii="Arial" w:hAnsi="Arial" w:cs="Arial"/>
        </w:rPr>
      </w:pPr>
      <w:r w:rsidRPr="00D330EE">
        <w:rPr>
          <w:rFonts w:ascii="Arial" w:hAnsi="Arial" w:cs="Arial"/>
        </w:rPr>
        <w:t>Stakeholders are encouraged to make submissions and comment on the estimations and assumptions used to derive the additional costs set out above.</w:t>
      </w:r>
    </w:p>
    <w:p w:rsidR="003C7A7D" w:rsidRPr="00D330EE" w:rsidRDefault="003C7A7D" w:rsidP="003C7A7D">
      <w:pPr>
        <w:spacing w:after="240"/>
        <w:rPr>
          <w:rFonts w:ascii="Arial" w:hAnsi="Arial" w:cs="Arial"/>
        </w:rPr>
      </w:pPr>
      <w:r w:rsidRPr="00D330EE">
        <w:rPr>
          <w:rFonts w:ascii="Arial" w:hAnsi="Arial" w:cs="Arial"/>
        </w:rPr>
        <w:t xml:space="preserve">The estimation of additional costs set out in this draft RIS may change once submissions are received. Changes will be reflected in the final RIS. </w:t>
      </w:r>
    </w:p>
    <w:p w:rsidR="00FF5C9B" w:rsidRPr="00690F06" w:rsidRDefault="00FF5C9B">
      <w:pPr>
        <w:rPr>
          <w:rFonts w:ascii="Arial" w:hAnsi="Arial" w:cs="Arial"/>
        </w:rPr>
        <w:sectPr w:rsidR="00FF5C9B" w:rsidRPr="00690F06" w:rsidSect="00AC56F7">
          <w:pgSz w:w="11909" w:h="16834" w:code="9"/>
          <w:pgMar w:top="1440" w:right="1440" w:bottom="1440" w:left="1440" w:header="794" w:footer="1440" w:gutter="0"/>
          <w:pgNumType w:fmt="numberInDash"/>
          <w:cols w:space="720"/>
        </w:sectPr>
      </w:pPr>
    </w:p>
    <w:p w:rsidR="00AC56F7" w:rsidRPr="00B7209D" w:rsidRDefault="00E91CD0" w:rsidP="00394F47">
      <w:pPr>
        <w:pStyle w:val="Heading1"/>
        <w:spacing w:before="120"/>
        <w:rPr>
          <w:rFonts w:ascii="Lucida Fax" w:hAnsi="Lucida Fax" w:cs="Arial"/>
          <w:lang w:val="en-AU"/>
        </w:rPr>
      </w:pPr>
      <w:bookmarkStart w:id="114" w:name="_Toc412196655"/>
      <w:r w:rsidRPr="00B75AB3">
        <w:rPr>
          <w:rFonts w:ascii="Lucida Fax" w:hAnsi="Lucida Fax" w:cs="Arial"/>
          <w:lang w:val="en-AU"/>
        </w:rPr>
        <w:lastRenderedPageBreak/>
        <w:t>Attachment</w:t>
      </w:r>
      <w:r w:rsidRPr="006A0321">
        <w:rPr>
          <w:rFonts w:ascii="Lucida Fax" w:hAnsi="Lucida Fax" w:cs="Arial"/>
          <w:lang w:val="en-AU"/>
        </w:rPr>
        <w:t> </w:t>
      </w:r>
      <w:r w:rsidR="001642A3" w:rsidRPr="006A0321">
        <w:rPr>
          <w:rFonts w:ascii="Lucida Fax" w:hAnsi="Lucida Fax" w:cs="Arial"/>
          <w:lang w:val="en-AU"/>
        </w:rPr>
        <w:t>9</w:t>
      </w:r>
      <w:r w:rsidR="0078383B" w:rsidRPr="008C11A6">
        <w:rPr>
          <w:rFonts w:ascii="Lucida Fax" w:hAnsi="Lucida Fax" w:cs="Arial"/>
          <w:lang w:val="en-AU"/>
        </w:rPr>
        <w:t>:</w:t>
      </w:r>
      <w:r w:rsidR="0078383B" w:rsidRPr="008C11A6">
        <w:rPr>
          <w:rFonts w:ascii="Lucida Fax" w:hAnsi="Lucida Fax" w:cs="Arial"/>
          <w:lang w:val="en-AU"/>
        </w:rPr>
        <w:tab/>
      </w:r>
      <w:r w:rsidR="00345D16">
        <w:rPr>
          <w:rFonts w:ascii="Lucida Fax" w:hAnsi="Lucida Fax" w:cs="Arial"/>
          <w:lang w:val="en-AU"/>
        </w:rPr>
        <w:t>List of 22 aromatic amines and their safe limits</w:t>
      </w:r>
      <w:bookmarkEnd w:id="114"/>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843"/>
        <w:gridCol w:w="4867"/>
        <w:gridCol w:w="2362"/>
        <w:gridCol w:w="2072"/>
        <w:gridCol w:w="2086"/>
      </w:tblGrid>
      <w:tr w:rsidR="00D362A3" w:rsidRPr="006B5B04" w:rsidTr="00D25AB3">
        <w:trPr>
          <w:trHeight w:val="300"/>
        </w:trPr>
        <w:tc>
          <w:tcPr>
            <w:tcW w:w="14708" w:type="dxa"/>
            <w:gridSpan w:val="6"/>
            <w:shd w:val="clear" w:color="auto" w:fill="DAEEF3"/>
            <w:vAlign w:val="center"/>
          </w:tcPr>
          <w:p w:rsidR="00D362A3" w:rsidRPr="00690F06" w:rsidRDefault="00D362A3" w:rsidP="00D25AB3">
            <w:pPr>
              <w:jc w:val="center"/>
              <w:rPr>
                <w:rFonts w:ascii="Arial" w:hAnsi="Arial" w:cs="Arial"/>
                <w:b/>
              </w:rPr>
            </w:pPr>
            <w:r w:rsidRPr="00690F06">
              <w:rPr>
                <w:rFonts w:ascii="Arial" w:hAnsi="Arial" w:cs="Arial"/>
                <w:b/>
              </w:rPr>
              <w:t>Particulars of Goods</w:t>
            </w:r>
          </w:p>
        </w:tc>
      </w:tr>
      <w:tr w:rsidR="00D362A3" w:rsidRPr="006B5B04" w:rsidTr="00D25AB3">
        <w:tc>
          <w:tcPr>
            <w:tcW w:w="1478" w:type="dxa"/>
            <w:shd w:val="clear" w:color="auto" w:fill="DAEEF3"/>
          </w:tcPr>
          <w:p w:rsidR="00D362A3" w:rsidRPr="006B5B04" w:rsidRDefault="00D362A3" w:rsidP="00D25AB3">
            <w:pPr>
              <w:jc w:val="center"/>
              <w:rPr>
                <w:rFonts w:cs="Arial"/>
                <w:b/>
                <w:sz w:val="20"/>
              </w:rPr>
            </w:pPr>
            <w:r w:rsidRPr="006B5B04">
              <w:rPr>
                <w:rFonts w:cs="Arial"/>
                <w:b/>
                <w:sz w:val="20"/>
              </w:rPr>
              <w:t>Type of consumer good</w:t>
            </w:r>
          </w:p>
        </w:tc>
        <w:tc>
          <w:tcPr>
            <w:tcW w:w="1843" w:type="dxa"/>
            <w:shd w:val="clear" w:color="auto" w:fill="DAEEF3"/>
          </w:tcPr>
          <w:p w:rsidR="00D362A3" w:rsidRPr="006B5B04" w:rsidRDefault="00D362A3" w:rsidP="00D25AB3">
            <w:pPr>
              <w:jc w:val="center"/>
              <w:rPr>
                <w:rFonts w:cs="Arial"/>
                <w:b/>
                <w:sz w:val="20"/>
              </w:rPr>
            </w:pPr>
            <w:r w:rsidRPr="006B5B04">
              <w:rPr>
                <w:rFonts w:cs="Arial"/>
                <w:b/>
                <w:sz w:val="20"/>
              </w:rPr>
              <w:t>Concentration of hazardous chemical</w:t>
            </w:r>
          </w:p>
        </w:tc>
        <w:tc>
          <w:tcPr>
            <w:tcW w:w="4867" w:type="dxa"/>
            <w:shd w:val="clear" w:color="auto" w:fill="DAEEF3"/>
          </w:tcPr>
          <w:p w:rsidR="00D362A3" w:rsidRPr="00690F06" w:rsidRDefault="00D362A3" w:rsidP="00D25AB3">
            <w:pPr>
              <w:jc w:val="center"/>
              <w:rPr>
                <w:rFonts w:ascii="Arial" w:hAnsi="Arial" w:cs="Arial"/>
                <w:b/>
                <w:sz w:val="20"/>
              </w:rPr>
            </w:pPr>
            <w:r w:rsidRPr="00690F06">
              <w:rPr>
                <w:rFonts w:ascii="Arial" w:hAnsi="Arial" w:cs="Arial"/>
                <w:b/>
                <w:sz w:val="20"/>
              </w:rPr>
              <w:t>Chemical name and Chemicals Abstract Service (CAS) number of aromatic amines.</w:t>
            </w:r>
          </w:p>
        </w:tc>
        <w:tc>
          <w:tcPr>
            <w:tcW w:w="2362" w:type="dxa"/>
            <w:shd w:val="clear" w:color="auto" w:fill="DAEEF3"/>
          </w:tcPr>
          <w:p w:rsidR="00D362A3" w:rsidRPr="00690F06" w:rsidRDefault="00D362A3" w:rsidP="00D25AB3">
            <w:pPr>
              <w:jc w:val="center"/>
              <w:rPr>
                <w:rFonts w:ascii="Arial" w:hAnsi="Arial" w:cs="Arial"/>
                <w:b/>
                <w:sz w:val="20"/>
              </w:rPr>
            </w:pPr>
            <w:r w:rsidRPr="00690F06">
              <w:rPr>
                <w:rFonts w:ascii="Arial" w:hAnsi="Arial" w:cs="Arial"/>
                <w:b/>
                <w:sz w:val="20"/>
              </w:rPr>
              <w:t>Health effects</w:t>
            </w:r>
          </w:p>
        </w:tc>
        <w:tc>
          <w:tcPr>
            <w:tcW w:w="2072" w:type="dxa"/>
            <w:shd w:val="clear" w:color="auto" w:fill="DAEEF3"/>
          </w:tcPr>
          <w:p w:rsidR="00D362A3" w:rsidRPr="00690F06" w:rsidRDefault="00D362A3" w:rsidP="00D25AB3">
            <w:pPr>
              <w:jc w:val="center"/>
              <w:rPr>
                <w:rFonts w:ascii="Arial" w:hAnsi="Arial" w:cs="Arial"/>
                <w:b/>
                <w:sz w:val="20"/>
              </w:rPr>
            </w:pPr>
            <w:r w:rsidRPr="00690F06">
              <w:rPr>
                <w:rFonts w:ascii="Arial" w:hAnsi="Arial" w:cs="Arial"/>
                <w:b/>
                <w:sz w:val="20"/>
              </w:rPr>
              <w:t>Reference</w:t>
            </w:r>
          </w:p>
        </w:tc>
        <w:tc>
          <w:tcPr>
            <w:tcW w:w="2086" w:type="dxa"/>
            <w:shd w:val="clear" w:color="auto" w:fill="DAEEF3"/>
          </w:tcPr>
          <w:p w:rsidR="00D362A3" w:rsidRPr="00690F06" w:rsidRDefault="00D362A3" w:rsidP="00D25AB3">
            <w:pPr>
              <w:jc w:val="center"/>
              <w:rPr>
                <w:rFonts w:ascii="Arial" w:hAnsi="Arial" w:cs="Arial"/>
                <w:b/>
                <w:sz w:val="20"/>
              </w:rPr>
            </w:pPr>
            <w:r w:rsidRPr="00690F06">
              <w:rPr>
                <w:rFonts w:ascii="Arial" w:hAnsi="Arial" w:cs="Arial"/>
                <w:b/>
                <w:sz w:val="20"/>
              </w:rPr>
              <w:t>Examples of types of consumer goods</w:t>
            </w:r>
          </w:p>
        </w:tc>
      </w:tr>
      <w:tr w:rsidR="00D362A3" w:rsidRPr="006B5B04" w:rsidTr="00F3317A">
        <w:trPr>
          <w:trHeight w:val="6348"/>
        </w:trPr>
        <w:tc>
          <w:tcPr>
            <w:tcW w:w="1478" w:type="dxa"/>
            <w:shd w:val="clear" w:color="auto" w:fill="auto"/>
          </w:tcPr>
          <w:p w:rsidR="00D362A3" w:rsidRPr="006B5B04" w:rsidRDefault="00D362A3" w:rsidP="00D25AB3">
            <w:pPr>
              <w:jc w:val="center"/>
              <w:rPr>
                <w:rFonts w:cs="Arial"/>
                <w:sz w:val="18"/>
                <w:szCs w:val="18"/>
              </w:rPr>
            </w:pPr>
            <w:r w:rsidRPr="006B5B04">
              <w:rPr>
                <w:rFonts w:cs="Arial"/>
                <w:sz w:val="18"/>
                <w:szCs w:val="18"/>
              </w:rPr>
              <w:t>Clothing, textiles and leather articles in direct and prolonged contact with the human skin or oral cavity.</w:t>
            </w:r>
          </w:p>
        </w:tc>
        <w:tc>
          <w:tcPr>
            <w:tcW w:w="1843" w:type="dxa"/>
            <w:shd w:val="clear" w:color="auto" w:fill="auto"/>
          </w:tcPr>
          <w:p w:rsidR="00D362A3" w:rsidRPr="006B5B04" w:rsidRDefault="00D362A3" w:rsidP="00E91CD0">
            <w:pPr>
              <w:rPr>
                <w:rFonts w:cs="Arial"/>
                <w:sz w:val="18"/>
                <w:szCs w:val="18"/>
              </w:rPr>
            </w:pPr>
            <w:r w:rsidRPr="006B5B04">
              <w:rPr>
                <w:rFonts w:cs="Arial"/>
                <w:sz w:val="18"/>
                <w:szCs w:val="18"/>
              </w:rPr>
              <w:t xml:space="preserve">Total concentrations of aromatic amines over </w:t>
            </w:r>
            <w:r w:rsidR="00E91CD0" w:rsidRPr="006B5B04">
              <w:rPr>
                <w:rFonts w:cs="Arial"/>
                <w:sz w:val="18"/>
                <w:szCs w:val="18"/>
              </w:rPr>
              <w:t>30</w:t>
            </w:r>
            <w:r w:rsidR="00E91CD0">
              <w:rPr>
                <w:rFonts w:cs="Arial"/>
                <w:sz w:val="18"/>
                <w:szCs w:val="18"/>
              </w:rPr>
              <w:t> </w:t>
            </w:r>
            <w:r w:rsidRPr="006B5B04">
              <w:rPr>
                <w:rFonts w:cs="Arial"/>
                <w:sz w:val="18"/>
                <w:szCs w:val="18"/>
              </w:rPr>
              <w:t xml:space="preserve">mg/kg (or 0.003% by weight) shall not be present in the described </w:t>
            </w:r>
            <w:r w:rsidRPr="006B5B04">
              <w:rPr>
                <w:rFonts w:cs="Arial"/>
                <w:b/>
                <w:sz w:val="18"/>
                <w:szCs w:val="18"/>
              </w:rPr>
              <w:t>type of consumer good</w:t>
            </w:r>
          </w:p>
        </w:tc>
        <w:tc>
          <w:tcPr>
            <w:tcW w:w="4867" w:type="dxa"/>
            <w:shd w:val="clear" w:color="auto" w:fill="auto"/>
          </w:tcPr>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4-Aminodipheny   (</w:t>
            </w:r>
            <w:r w:rsidR="00E91CD0" w:rsidRPr="00690F06">
              <w:rPr>
                <w:rFonts w:ascii="Arial" w:hAnsi="Arial" w:cs="Arial"/>
                <w:sz w:val="17"/>
                <w:szCs w:val="17"/>
              </w:rPr>
              <w:t>CAS</w:t>
            </w:r>
            <w:r w:rsidR="00E91CD0">
              <w:rPr>
                <w:rFonts w:ascii="Arial" w:hAnsi="Arial" w:cs="Arial"/>
                <w:sz w:val="17"/>
                <w:szCs w:val="17"/>
              </w:rPr>
              <w:t> </w:t>
            </w:r>
            <w:r w:rsidRPr="00690F06">
              <w:rPr>
                <w:rFonts w:ascii="Arial" w:hAnsi="Arial" w:cs="Arial"/>
                <w:sz w:val="17"/>
                <w:szCs w:val="17"/>
              </w:rPr>
              <w:t>92-67-1)</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Benzidine   (</w:t>
            </w:r>
            <w:r w:rsidR="00E91CD0" w:rsidRPr="00690F06">
              <w:rPr>
                <w:rFonts w:ascii="Arial" w:hAnsi="Arial" w:cs="Arial"/>
                <w:sz w:val="17"/>
                <w:szCs w:val="17"/>
              </w:rPr>
              <w:t>CAS</w:t>
            </w:r>
            <w:r w:rsidR="00E91CD0">
              <w:rPr>
                <w:rFonts w:ascii="Arial" w:hAnsi="Arial" w:cs="Arial"/>
                <w:sz w:val="17"/>
                <w:szCs w:val="17"/>
              </w:rPr>
              <w:t> </w:t>
            </w:r>
            <w:r w:rsidRPr="00690F06">
              <w:rPr>
                <w:rFonts w:ascii="Arial" w:hAnsi="Arial" w:cs="Arial"/>
                <w:sz w:val="17"/>
                <w:szCs w:val="17"/>
              </w:rPr>
              <w:t>92-87-5)</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4-Chloro-o-Toluidine   (</w:t>
            </w:r>
            <w:r w:rsidR="00E91CD0" w:rsidRPr="00690F06">
              <w:rPr>
                <w:rFonts w:ascii="Arial" w:hAnsi="Arial" w:cs="Arial"/>
                <w:sz w:val="17"/>
                <w:szCs w:val="17"/>
              </w:rPr>
              <w:t>CAS</w:t>
            </w:r>
            <w:r w:rsidR="00E91CD0">
              <w:rPr>
                <w:rFonts w:ascii="Arial" w:hAnsi="Arial" w:cs="Arial"/>
                <w:sz w:val="17"/>
                <w:szCs w:val="17"/>
              </w:rPr>
              <w:t> </w:t>
            </w:r>
            <w:r w:rsidRPr="00690F06">
              <w:rPr>
                <w:rFonts w:ascii="Arial" w:hAnsi="Arial" w:cs="Arial"/>
                <w:sz w:val="17"/>
                <w:szCs w:val="17"/>
              </w:rPr>
              <w:t>95-69-2)</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2-Naphthylamine   (</w:t>
            </w:r>
            <w:r w:rsidR="00E91CD0" w:rsidRPr="00690F06">
              <w:rPr>
                <w:rFonts w:ascii="Arial" w:hAnsi="Arial" w:cs="Arial"/>
                <w:sz w:val="17"/>
                <w:szCs w:val="17"/>
              </w:rPr>
              <w:t>CAS</w:t>
            </w:r>
            <w:r w:rsidR="00E91CD0">
              <w:rPr>
                <w:rFonts w:ascii="Arial" w:hAnsi="Arial" w:cs="Arial"/>
                <w:sz w:val="17"/>
                <w:szCs w:val="17"/>
              </w:rPr>
              <w:t> </w:t>
            </w:r>
            <w:r w:rsidRPr="00690F06">
              <w:rPr>
                <w:rFonts w:ascii="Arial" w:hAnsi="Arial" w:cs="Arial"/>
                <w:sz w:val="17"/>
                <w:szCs w:val="17"/>
              </w:rPr>
              <w:t>91-59-8)</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o-Aminoazotoluene   (</w:t>
            </w:r>
            <w:r w:rsidR="00E91CD0" w:rsidRPr="00690F06">
              <w:rPr>
                <w:rFonts w:ascii="Arial" w:hAnsi="Arial" w:cs="Arial"/>
                <w:sz w:val="17"/>
                <w:szCs w:val="17"/>
              </w:rPr>
              <w:t>CAS</w:t>
            </w:r>
            <w:r w:rsidR="00E91CD0">
              <w:rPr>
                <w:rFonts w:ascii="Arial" w:hAnsi="Arial" w:cs="Arial"/>
                <w:sz w:val="17"/>
                <w:szCs w:val="17"/>
              </w:rPr>
              <w:t> </w:t>
            </w:r>
            <w:r w:rsidRPr="00690F06">
              <w:rPr>
                <w:rFonts w:ascii="Arial" w:hAnsi="Arial" w:cs="Arial"/>
                <w:sz w:val="17"/>
                <w:szCs w:val="17"/>
              </w:rPr>
              <w:t>97-56-3)</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2-Amino-4-Nitrotoluene   (</w:t>
            </w:r>
            <w:r w:rsidR="00E91CD0" w:rsidRPr="00690F06">
              <w:rPr>
                <w:rFonts w:ascii="Arial" w:hAnsi="Arial" w:cs="Arial"/>
                <w:sz w:val="17"/>
                <w:szCs w:val="17"/>
              </w:rPr>
              <w:t>CAS</w:t>
            </w:r>
            <w:r w:rsidR="00E91CD0">
              <w:rPr>
                <w:rFonts w:ascii="Arial" w:hAnsi="Arial" w:cs="Arial"/>
                <w:sz w:val="17"/>
                <w:szCs w:val="17"/>
              </w:rPr>
              <w:t> </w:t>
            </w:r>
            <w:r w:rsidRPr="00690F06">
              <w:rPr>
                <w:rFonts w:ascii="Arial" w:hAnsi="Arial" w:cs="Arial"/>
                <w:sz w:val="17"/>
                <w:szCs w:val="17"/>
              </w:rPr>
              <w:t>99-55-8)</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p-Chloroaniline   (</w:t>
            </w:r>
            <w:r w:rsidR="00E91CD0" w:rsidRPr="00690F06">
              <w:rPr>
                <w:rFonts w:ascii="Arial" w:hAnsi="Arial" w:cs="Arial"/>
                <w:sz w:val="17"/>
                <w:szCs w:val="17"/>
              </w:rPr>
              <w:t>CAS</w:t>
            </w:r>
            <w:r w:rsidR="00E91CD0">
              <w:rPr>
                <w:rFonts w:ascii="Arial" w:hAnsi="Arial" w:cs="Arial"/>
                <w:sz w:val="17"/>
                <w:szCs w:val="17"/>
              </w:rPr>
              <w:t> </w:t>
            </w:r>
            <w:r w:rsidRPr="00690F06">
              <w:rPr>
                <w:rFonts w:ascii="Arial" w:hAnsi="Arial" w:cs="Arial"/>
                <w:sz w:val="17"/>
                <w:szCs w:val="17"/>
              </w:rPr>
              <w:t>106-47-8)</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2,4-Diaminoanisole   (</w:t>
            </w:r>
            <w:r w:rsidR="00E91CD0" w:rsidRPr="00690F06">
              <w:rPr>
                <w:rFonts w:ascii="Arial" w:hAnsi="Arial" w:cs="Arial"/>
                <w:sz w:val="17"/>
                <w:szCs w:val="17"/>
              </w:rPr>
              <w:t>CAS</w:t>
            </w:r>
            <w:r w:rsidR="00E91CD0">
              <w:rPr>
                <w:rFonts w:ascii="Arial" w:hAnsi="Arial" w:cs="Arial"/>
                <w:sz w:val="17"/>
                <w:szCs w:val="17"/>
              </w:rPr>
              <w:t> </w:t>
            </w:r>
            <w:r w:rsidRPr="00690F06">
              <w:rPr>
                <w:rFonts w:ascii="Arial" w:hAnsi="Arial" w:cs="Arial"/>
                <w:sz w:val="17"/>
                <w:szCs w:val="17"/>
              </w:rPr>
              <w:t>615-05-4)</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 xml:space="preserve">4,4'-Diaminodiphenylmethane </w:t>
            </w:r>
            <w:r w:rsidR="00E91CD0">
              <w:rPr>
                <w:rFonts w:ascii="Arial" w:hAnsi="Arial" w:cs="Arial"/>
                <w:sz w:val="17"/>
                <w:szCs w:val="17"/>
              </w:rPr>
              <w:t xml:space="preserve"> </w:t>
            </w:r>
            <w:r w:rsidRPr="00690F06">
              <w:rPr>
                <w:rFonts w:ascii="Arial" w:hAnsi="Arial" w:cs="Arial"/>
                <w:sz w:val="17"/>
                <w:szCs w:val="17"/>
              </w:rPr>
              <w:t xml:space="preserve"> (</w:t>
            </w:r>
            <w:r w:rsidR="00E91CD0" w:rsidRPr="00690F06">
              <w:rPr>
                <w:rFonts w:ascii="Arial" w:hAnsi="Arial" w:cs="Arial"/>
                <w:sz w:val="17"/>
                <w:szCs w:val="17"/>
              </w:rPr>
              <w:t>CAS</w:t>
            </w:r>
            <w:r w:rsidR="00E91CD0">
              <w:rPr>
                <w:rFonts w:ascii="Arial" w:hAnsi="Arial" w:cs="Arial"/>
                <w:sz w:val="17"/>
                <w:szCs w:val="17"/>
              </w:rPr>
              <w:t> </w:t>
            </w:r>
            <w:r w:rsidRPr="00690F06">
              <w:rPr>
                <w:rFonts w:ascii="Arial" w:hAnsi="Arial" w:cs="Arial"/>
                <w:sz w:val="17"/>
                <w:szCs w:val="17"/>
              </w:rPr>
              <w:t>101-77-9)</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3,3'-Dichlorobenzidine   (</w:t>
            </w:r>
            <w:r w:rsidR="00E91CD0" w:rsidRPr="00690F06">
              <w:rPr>
                <w:rFonts w:ascii="Arial" w:hAnsi="Arial" w:cs="Arial"/>
                <w:sz w:val="17"/>
                <w:szCs w:val="17"/>
              </w:rPr>
              <w:t>CAS</w:t>
            </w:r>
            <w:r w:rsidR="00E91CD0">
              <w:rPr>
                <w:rFonts w:ascii="Arial" w:hAnsi="Arial" w:cs="Arial"/>
                <w:sz w:val="17"/>
                <w:szCs w:val="17"/>
              </w:rPr>
              <w:t> </w:t>
            </w:r>
            <w:r w:rsidRPr="00690F06">
              <w:rPr>
                <w:rFonts w:ascii="Arial" w:hAnsi="Arial" w:cs="Arial"/>
                <w:sz w:val="17"/>
                <w:szCs w:val="17"/>
              </w:rPr>
              <w:t>91-94-1)</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3,3'-Dimethoxybenzidine   (</w:t>
            </w:r>
            <w:r w:rsidR="00E91CD0" w:rsidRPr="00690F06">
              <w:rPr>
                <w:rFonts w:ascii="Arial" w:hAnsi="Arial" w:cs="Arial"/>
                <w:sz w:val="17"/>
                <w:szCs w:val="17"/>
              </w:rPr>
              <w:t>CAS</w:t>
            </w:r>
            <w:r w:rsidR="00E91CD0">
              <w:rPr>
                <w:rFonts w:ascii="Arial" w:hAnsi="Arial" w:cs="Arial"/>
                <w:sz w:val="17"/>
                <w:szCs w:val="17"/>
              </w:rPr>
              <w:t> </w:t>
            </w:r>
            <w:r w:rsidRPr="00690F06">
              <w:rPr>
                <w:rFonts w:ascii="Arial" w:hAnsi="Arial" w:cs="Arial"/>
                <w:sz w:val="17"/>
                <w:szCs w:val="17"/>
              </w:rPr>
              <w:t>119-90-4)</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3,3'-Dimethylbenzidine   (</w:t>
            </w:r>
            <w:r w:rsidR="00E91CD0" w:rsidRPr="00690F06">
              <w:rPr>
                <w:rFonts w:ascii="Arial" w:hAnsi="Arial" w:cs="Arial"/>
                <w:sz w:val="17"/>
                <w:szCs w:val="17"/>
              </w:rPr>
              <w:t>CAS</w:t>
            </w:r>
            <w:r w:rsidR="00E91CD0">
              <w:rPr>
                <w:rFonts w:ascii="Arial" w:hAnsi="Arial" w:cs="Arial"/>
                <w:sz w:val="17"/>
                <w:szCs w:val="17"/>
              </w:rPr>
              <w:t> </w:t>
            </w:r>
            <w:r w:rsidRPr="00690F06">
              <w:rPr>
                <w:rFonts w:ascii="Arial" w:hAnsi="Arial" w:cs="Arial"/>
                <w:sz w:val="17"/>
                <w:szCs w:val="17"/>
              </w:rPr>
              <w:t>119-93-7)</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 xml:space="preserve">3,3'-Dimethyl-4,4'diaminodiphenylmethane </w:t>
            </w:r>
            <w:r w:rsidR="003C2120">
              <w:rPr>
                <w:rFonts w:ascii="Arial" w:hAnsi="Arial" w:cs="Arial"/>
                <w:sz w:val="17"/>
                <w:szCs w:val="17"/>
              </w:rPr>
              <w:t xml:space="preserve">  </w:t>
            </w:r>
            <w:r w:rsidRPr="00690F06">
              <w:rPr>
                <w:rFonts w:ascii="Arial" w:hAnsi="Arial" w:cs="Arial"/>
                <w:sz w:val="17"/>
                <w:szCs w:val="17"/>
              </w:rPr>
              <w:t>(</w:t>
            </w:r>
            <w:r w:rsidR="00E91CD0" w:rsidRPr="00690F06">
              <w:rPr>
                <w:rFonts w:ascii="Arial" w:hAnsi="Arial" w:cs="Arial"/>
                <w:sz w:val="17"/>
                <w:szCs w:val="17"/>
              </w:rPr>
              <w:t>CAS</w:t>
            </w:r>
            <w:r w:rsidR="00E91CD0">
              <w:rPr>
                <w:rFonts w:ascii="Arial" w:hAnsi="Arial" w:cs="Arial"/>
                <w:sz w:val="17"/>
                <w:szCs w:val="17"/>
              </w:rPr>
              <w:t> </w:t>
            </w:r>
            <w:r w:rsidRPr="00690F06">
              <w:rPr>
                <w:rFonts w:ascii="Arial" w:hAnsi="Arial" w:cs="Arial"/>
                <w:sz w:val="17"/>
                <w:szCs w:val="17"/>
              </w:rPr>
              <w:t>838-88-0)</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p-Cresidine   (CAS</w:t>
            </w:r>
            <w:r w:rsidR="00E91CD0">
              <w:rPr>
                <w:rFonts w:ascii="Arial" w:hAnsi="Arial" w:cs="Arial"/>
                <w:sz w:val="17"/>
                <w:szCs w:val="17"/>
              </w:rPr>
              <w:t> </w:t>
            </w:r>
            <w:r w:rsidRPr="00690F06">
              <w:rPr>
                <w:rFonts w:ascii="Arial" w:hAnsi="Arial" w:cs="Arial"/>
                <w:sz w:val="17"/>
                <w:szCs w:val="17"/>
              </w:rPr>
              <w:t>120-71-8)</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 xml:space="preserve">4,4'-Methylene-Bis(2-Chloroaniline) </w:t>
            </w:r>
            <w:r w:rsidR="003C2120">
              <w:rPr>
                <w:rFonts w:ascii="Arial" w:hAnsi="Arial" w:cs="Arial"/>
                <w:sz w:val="17"/>
                <w:szCs w:val="17"/>
              </w:rPr>
              <w:t xml:space="preserve">  </w:t>
            </w:r>
            <w:r w:rsidRPr="00690F06">
              <w:rPr>
                <w:rFonts w:ascii="Arial" w:hAnsi="Arial" w:cs="Arial"/>
                <w:sz w:val="17"/>
                <w:szCs w:val="17"/>
              </w:rPr>
              <w:t>(CAS</w:t>
            </w:r>
            <w:r w:rsidR="00E91CD0">
              <w:rPr>
                <w:rFonts w:ascii="Arial" w:hAnsi="Arial" w:cs="Arial"/>
                <w:sz w:val="17"/>
                <w:szCs w:val="17"/>
              </w:rPr>
              <w:t> </w:t>
            </w:r>
            <w:r w:rsidRPr="00690F06">
              <w:rPr>
                <w:rFonts w:ascii="Arial" w:hAnsi="Arial" w:cs="Arial"/>
                <w:sz w:val="17"/>
                <w:szCs w:val="17"/>
              </w:rPr>
              <w:t>101-14-4)</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4,4'-Oxydianiline   (CAS</w:t>
            </w:r>
            <w:r w:rsidR="00E91CD0">
              <w:rPr>
                <w:rFonts w:ascii="Arial" w:hAnsi="Arial" w:cs="Arial"/>
                <w:sz w:val="17"/>
                <w:szCs w:val="17"/>
              </w:rPr>
              <w:t> </w:t>
            </w:r>
            <w:r w:rsidRPr="00690F06">
              <w:rPr>
                <w:rFonts w:ascii="Arial" w:hAnsi="Arial" w:cs="Arial"/>
                <w:sz w:val="17"/>
                <w:szCs w:val="17"/>
              </w:rPr>
              <w:t>101-80-4)</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4,4'-Thiodianiline   (CAS</w:t>
            </w:r>
            <w:r w:rsidR="00E91CD0">
              <w:rPr>
                <w:rFonts w:ascii="Arial" w:hAnsi="Arial" w:cs="Arial"/>
                <w:sz w:val="17"/>
                <w:szCs w:val="17"/>
              </w:rPr>
              <w:t> </w:t>
            </w:r>
            <w:r w:rsidRPr="00690F06">
              <w:rPr>
                <w:rFonts w:ascii="Arial" w:hAnsi="Arial" w:cs="Arial"/>
                <w:sz w:val="17"/>
                <w:szCs w:val="17"/>
              </w:rPr>
              <w:t>139-65-1)</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o-Toluidine   (CAS</w:t>
            </w:r>
            <w:r w:rsidR="00E91CD0">
              <w:rPr>
                <w:rFonts w:ascii="Arial" w:hAnsi="Arial" w:cs="Arial"/>
                <w:sz w:val="17"/>
                <w:szCs w:val="17"/>
              </w:rPr>
              <w:t> </w:t>
            </w:r>
            <w:r w:rsidRPr="00690F06">
              <w:rPr>
                <w:rFonts w:ascii="Arial" w:hAnsi="Arial" w:cs="Arial"/>
                <w:sz w:val="17"/>
                <w:szCs w:val="17"/>
              </w:rPr>
              <w:t>95-53-4)</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2,4-Toluylenediamine   (CAS</w:t>
            </w:r>
            <w:r w:rsidR="00E91CD0">
              <w:rPr>
                <w:rFonts w:ascii="Arial" w:hAnsi="Arial" w:cs="Arial"/>
                <w:sz w:val="17"/>
                <w:szCs w:val="17"/>
              </w:rPr>
              <w:t> </w:t>
            </w:r>
            <w:r w:rsidRPr="00690F06">
              <w:rPr>
                <w:rFonts w:ascii="Arial" w:hAnsi="Arial" w:cs="Arial"/>
                <w:sz w:val="17"/>
                <w:szCs w:val="17"/>
              </w:rPr>
              <w:t>95-80-7)</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 xml:space="preserve">2,4,5-Trimethylaniline </w:t>
            </w:r>
            <w:r w:rsidR="003C2120">
              <w:rPr>
                <w:rFonts w:ascii="Arial" w:hAnsi="Arial" w:cs="Arial"/>
                <w:sz w:val="17"/>
                <w:szCs w:val="17"/>
              </w:rPr>
              <w:t xml:space="preserve">  </w:t>
            </w:r>
            <w:r w:rsidRPr="00690F06">
              <w:rPr>
                <w:rFonts w:ascii="Arial" w:hAnsi="Arial" w:cs="Arial"/>
                <w:sz w:val="17"/>
                <w:szCs w:val="17"/>
              </w:rPr>
              <w:t>(CAS</w:t>
            </w:r>
            <w:r w:rsidR="00E91CD0">
              <w:rPr>
                <w:rFonts w:ascii="Arial" w:hAnsi="Arial" w:cs="Arial"/>
                <w:sz w:val="17"/>
                <w:szCs w:val="17"/>
              </w:rPr>
              <w:t> </w:t>
            </w:r>
            <w:r w:rsidRPr="00690F06">
              <w:rPr>
                <w:rFonts w:ascii="Arial" w:hAnsi="Arial" w:cs="Arial"/>
                <w:sz w:val="17"/>
                <w:szCs w:val="17"/>
              </w:rPr>
              <w:t>137-17-7)</w:t>
            </w:r>
          </w:p>
          <w:p w:rsidR="00D362A3" w:rsidRPr="00690F06" w:rsidRDefault="00D362A3" w:rsidP="00F3317A">
            <w:pPr>
              <w:numPr>
                <w:ilvl w:val="0"/>
                <w:numId w:val="26"/>
              </w:numPr>
              <w:spacing w:after="80"/>
              <w:ind w:left="363" w:hanging="425"/>
              <w:contextualSpacing/>
              <w:rPr>
                <w:rFonts w:ascii="Arial" w:hAnsi="Arial" w:cs="Arial"/>
                <w:sz w:val="17"/>
                <w:szCs w:val="17"/>
              </w:rPr>
            </w:pPr>
            <w:r w:rsidRPr="00690F06">
              <w:rPr>
                <w:rFonts w:ascii="Arial" w:hAnsi="Arial" w:cs="Arial"/>
                <w:sz w:val="17"/>
                <w:szCs w:val="17"/>
              </w:rPr>
              <w:t xml:space="preserve">o-Anisidine </w:t>
            </w:r>
            <w:r w:rsidR="003C2120">
              <w:rPr>
                <w:rFonts w:ascii="Arial" w:hAnsi="Arial" w:cs="Arial"/>
                <w:sz w:val="17"/>
                <w:szCs w:val="17"/>
              </w:rPr>
              <w:t xml:space="preserve">  </w:t>
            </w:r>
            <w:r w:rsidRPr="00690F06">
              <w:rPr>
                <w:rFonts w:ascii="Arial" w:hAnsi="Arial" w:cs="Arial"/>
                <w:sz w:val="17"/>
                <w:szCs w:val="17"/>
              </w:rPr>
              <w:t>(CAS</w:t>
            </w:r>
            <w:r w:rsidR="00E91CD0">
              <w:rPr>
                <w:rFonts w:ascii="Arial" w:hAnsi="Arial" w:cs="Arial"/>
                <w:sz w:val="17"/>
                <w:szCs w:val="17"/>
              </w:rPr>
              <w:t> </w:t>
            </w:r>
            <w:r w:rsidRPr="00690F06">
              <w:rPr>
                <w:rFonts w:ascii="Arial" w:hAnsi="Arial" w:cs="Arial"/>
                <w:sz w:val="17"/>
                <w:szCs w:val="17"/>
              </w:rPr>
              <w:t>90-04-0)</w:t>
            </w:r>
          </w:p>
          <w:p w:rsidR="00D362A3" w:rsidRPr="00690F06" w:rsidRDefault="00D362A3" w:rsidP="00F3317A">
            <w:pPr>
              <w:numPr>
                <w:ilvl w:val="0"/>
                <w:numId w:val="26"/>
              </w:numPr>
              <w:spacing w:after="80"/>
              <w:ind w:left="363" w:hanging="425"/>
              <w:contextualSpacing/>
              <w:rPr>
                <w:rFonts w:ascii="Arial" w:hAnsi="Arial" w:cs="Arial"/>
                <w:sz w:val="16"/>
                <w:szCs w:val="16"/>
              </w:rPr>
            </w:pPr>
            <w:r w:rsidRPr="00690F06">
              <w:rPr>
                <w:rFonts w:ascii="Arial" w:hAnsi="Arial" w:cs="Arial"/>
                <w:sz w:val="17"/>
                <w:szCs w:val="17"/>
              </w:rPr>
              <w:t>p-Aminoazobenzene   (CAS</w:t>
            </w:r>
            <w:r w:rsidR="00E91CD0">
              <w:rPr>
                <w:rFonts w:ascii="Arial" w:hAnsi="Arial" w:cs="Arial"/>
                <w:sz w:val="17"/>
                <w:szCs w:val="17"/>
              </w:rPr>
              <w:t> </w:t>
            </w:r>
            <w:r w:rsidRPr="00690F06">
              <w:rPr>
                <w:rFonts w:ascii="Arial" w:hAnsi="Arial" w:cs="Arial"/>
                <w:sz w:val="17"/>
                <w:szCs w:val="17"/>
              </w:rPr>
              <w:t>60-09-3)</w:t>
            </w:r>
          </w:p>
        </w:tc>
        <w:tc>
          <w:tcPr>
            <w:tcW w:w="2362" w:type="dxa"/>
            <w:shd w:val="clear" w:color="auto" w:fill="auto"/>
          </w:tcPr>
          <w:p w:rsidR="00D362A3" w:rsidRPr="00690F06" w:rsidRDefault="00D362A3" w:rsidP="00D25AB3">
            <w:pPr>
              <w:rPr>
                <w:rFonts w:ascii="Arial" w:hAnsi="Arial" w:cs="Arial"/>
                <w:sz w:val="18"/>
                <w:szCs w:val="18"/>
              </w:rPr>
            </w:pPr>
            <w:r w:rsidRPr="00690F06">
              <w:rPr>
                <w:rFonts w:ascii="Arial" w:hAnsi="Arial" w:cs="Arial"/>
                <w:sz w:val="18"/>
                <w:szCs w:val="18"/>
              </w:rPr>
              <w:t>All the aromatic amines listed are either known or suspected human carcinogens.</w:t>
            </w:r>
          </w:p>
          <w:p w:rsidR="00D362A3" w:rsidRPr="00690F06" w:rsidRDefault="00D362A3" w:rsidP="00D25AB3">
            <w:pPr>
              <w:rPr>
                <w:rFonts w:ascii="Arial" w:hAnsi="Arial" w:cs="Arial"/>
                <w:sz w:val="18"/>
                <w:szCs w:val="18"/>
              </w:rPr>
            </w:pPr>
          </w:p>
          <w:p w:rsidR="00D362A3" w:rsidRPr="00690F06" w:rsidRDefault="00D362A3" w:rsidP="00D25AB3">
            <w:pPr>
              <w:rPr>
                <w:rFonts w:ascii="Arial" w:hAnsi="Arial" w:cs="Arial"/>
                <w:sz w:val="18"/>
                <w:szCs w:val="18"/>
              </w:rPr>
            </w:pPr>
            <w:r w:rsidRPr="00690F06">
              <w:rPr>
                <w:rFonts w:ascii="Arial" w:hAnsi="Arial" w:cs="Arial"/>
                <w:sz w:val="18"/>
                <w:szCs w:val="18"/>
              </w:rPr>
              <w:t xml:space="preserve">The critical health effects for risk characterisation include systemic long-term effects including carcinogenicity, reproductive toxicity and developmental toxicity. </w:t>
            </w:r>
          </w:p>
          <w:p w:rsidR="00D362A3" w:rsidRPr="00690F06" w:rsidRDefault="00D362A3" w:rsidP="00D25AB3">
            <w:pPr>
              <w:rPr>
                <w:rFonts w:ascii="Arial" w:hAnsi="Arial" w:cs="Arial"/>
                <w:sz w:val="18"/>
                <w:szCs w:val="18"/>
              </w:rPr>
            </w:pPr>
          </w:p>
          <w:p w:rsidR="00D362A3" w:rsidRPr="00690F06" w:rsidRDefault="00D362A3" w:rsidP="00D25AB3">
            <w:pPr>
              <w:rPr>
                <w:rFonts w:ascii="Arial" w:hAnsi="Arial" w:cs="Arial"/>
                <w:b/>
                <w:sz w:val="18"/>
                <w:szCs w:val="18"/>
              </w:rPr>
            </w:pPr>
          </w:p>
        </w:tc>
        <w:tc>
          <w:tcPr>
            <w:tcW w:w="2072" w:type="dxa"/>
            <w:shd w:val="clear" w:color="auto" w:fill="auto"/>
          </w:tcPr>
          <w:p w:rsidR="00D362A3" w:rsidRPr="00690F06" w:rsidRDefault="00D362A3" w:rsidP="00D25AB3">
            <w:pPr>
              <w:rPr>
                <w:rFonts w:ascii="Arial" w:hAnsi="Arial" w:cs="Arial"/>
                <w:sz w:val="18"/>
                <w:szCs w:val="18"/>
              </w:rPr>
            </w:pPr>
            <w:r w:rsidRPr="00690F06">
              <w:rPr>
                <w:rFonts w:ascii="Arial" w:hAnsi="Arial" w:cs="Arial"/>
                <w:sz w:val="18"/>
                <w:szCs w:val="18"/>
              </w:rPr>
              <w:t xml:space="preserve">The NICNAS IMAP Human Health Tier II Assessment for benzidine-based dyes recommended that the supply of textiles and leather goods likely to come into direct and prolonged contact with the human skin that may plausibly result in exposure to benzidine- based dyes at unacceptable </w:t>
            </w:r>
            <w:r w:rsidR="00B06913" w:rsidRPr="00690F06">
              <w:rPr>
                <w:rFonts w:ascii="Arial" w:hAnsi="Arial" w:cs="Arial"/>
                <w:sz w:val="18"/>
                <w:szCs w:val="18"/>
              </w:rPr>
              <w:t>concentrations</w:t>
            </w:r>
            <w:r w:rsidRPr="00690F06">
              <w:rPr>
                <w:rFonts w:ascii="Arial" w:hAnsi="Arial" w:cs="Arial"/>
                <w:sz w:val="18"/>
                <w:szCs w:val="18"/>
              </w:rPr>
              <w:t xml:space="preserve"> be restricted: </w:t>
            </w:r>
            <w:hyperlink r:id="rId20" w:history="1">
              <w:r w:rsidRPr="00690F06">
                <w:rPr>
                  <w:rFonts w:ascii="Arial" w:hAnsi="Arial" w:cs="Arial"/>
                  <w:color w:val="0000FF"/>
                  <w:sz w:val="18"/>
                  <w:szCs w:val="18"/>
                  <w:u w:val="single"/>
                </w:rPr>
                <w:t>http://www.nicnas.gov.au/chemical-information/imap-assessments/imap-group-assessment-report?assessment_id=513</w:t>
              </w:r>
            </w:hyperlink>
            <w:r w:rsidRPr="00690F06">
              <w:rPr>
                <w:rFonts w:ascii="Arial" w:hAnsi="Arial" w:cs="Arial"/>
                <w:sz w:val="18"/>
                <w:szCs w:val="18"/>
              </w:rPr>
              <w:t xml:space="preserve"> </w:t>
            </w:r>
          </w:p>
          <w:p w:rsidR="00D362A3" w:rsidRPr="00690F06" w:rsidRDefault="00D362A3" w:rsidP="00D25AB3">
            <w:pPr>
              <w:rPr>
                <w:rFonts w:ascii="Arial" w:hAnsi="Arial" w:cs="Arial"/>
                <w:sz w:val="18"/>
                <w:szCs w:val="18"/>
              </w:rPr>
            </w:pPr>
            <w:r w:rsidRPr="00690F06">
              <w:rPr>
                <w:rFonts w:ascii="Arial" w:hAnsi="Arial" w:cs="Arial"/>
                <w:sz w:val="18"/>
                <w:szCs w:val="18"/>
              </w:rPr>
              <w:t>Identifying benzidine- based dyes in these consumer goods means testing for certain aromatic amines.</w:t>
            </w:r>
          </w:p>
          <w:p w:rsidR="00D362A3" w:rsidRPr="00690F06" w:rsidRDefault="00D362A3" w:rsidP="00D25AB3">
            <w:pPr>
              <w:rPr>
                <w:rFonts w:ascii="Arial" w:hAnsi="Arial" w:cs="Arial"/>
                <w:sz w:val="18"/>
                <w:szCs w:val="18"/>
              </w:rPr>
            </w:pPr>
          </w:p>
        </w:tc>
        <w:tc>
          <w:tcPr>
            <w:tcW w:w="2086" w:type="dxa"/>
            <w:shd w:val="clear" w:color="auto" w:fill="auto"/>
          </w:tcPr>
          <w:p w:rsidR="00D362A3" w:rsidRPr="00690F06" w:rsidRDefault="00D362A3" w:rsidP="00D25AB3">
            <w:pPr>
              <w:spacing w:after="120"/>
              <w:rPr>
                <w:rFonts w:ascii="Arial" w:hAnsi="Arial" w:cs="Arial"/>
                <w:sz w:val="18"/>
                <w:szCs w:val="18"/>
              </w:rPr>
            </w:pPr>
            <w:r w:rsidRPr="00690F06">
              <w:rPr>
                <w:rFonts w:ascii="Arial" w:hAnsi="Arial" w:cs="Arial"/>
                <w:sz w:val="18"/>
                <w:szCs w:val="18"/>
              </w:rPr>
              <w:t>The consumer goods captured by this regulation include but are not limited to:</w:t>
            </w:r>
          </w:p>
          <w:p w:rsidR="00D362A3" w:rsidRPr="00690F06" w:rsidRDefault="00D362A3" w:rsidP="00D362A3">
            <w:pPr>
              <w:numPr>
                <w:ilvl w:val="0"/>
                <w:numId w:val="25"/>
              </w:numPr>
              <w:spacing w:after="240"/>
              <w:ind w:left="136" w:hanging="136"/>
              <w:contextualSpacing/>
              <w:rPr>
                <w:rFonts w:ascii="Arial" w:hAnsi="Arial" w:cs="Arial"/>
                <w:sz w:val="18"/>
                <w:szCs w:val="18"/>
              </w:rPr>
            </w:pPr>
            <w:r w:rsidRPr="00690F06">
              <w:rPr>
                <w:rFonts w:ascii="Arial" w:hAnsi="Arial" w:cs="Arial"/>
                <w:sz w:val="18"/>
                <w:szCs w:val="18"/>
              </w:rPr>
              <w:t>clothing such as shirts, singlets, pants, jeans, shorts underwear, socks, gloves</w:t>
            </w:r>
            <w:r w:rsidR="007D204D">
              <w:rPr>
                <w:rFonts w:ascii="Arial" w:hAnsi="Arial" w:cs="Arial"/>
                <w:sz w:val="18"/>
                <w:szCs w:val="18"/>
              </w:rPr>
              <w:t xml:space="preserve"> and footwear such as </w:t>
            </w:r>
            <w:r w:rsidR="00220F93">
              <w:rPr>
                <w:rFonts w:ascii="Arial" w:hAnsi="Arial" w:cs="Arial"/>
                <w:sz w:val="18"/>
                <w:szCs w:val="18"/>
              </w:rPr>
              <w:t>sandals</w:t>
            </w:r>
            <w:r w:rsidRPr="00690F06">
              <w:rPr>
                <w:rFonts w:ascii="Arial" w:hAnsi="Arial" w:cs="Arial"/>
                <w:sz w:val="18"/>
                <w:szCs w:val="18"/>
              </w:rPr>
              <w:t>;</w:t>
            </w:r>
          </w:p>
          <w:p w:rsidR="00D362A3" w:rsidRPr="00690F06" w:rsidRDefault="00D362A3" w:rsidP="00D362A3">
            <w:pPr>
              <w:numPr>
                <w:ilvl w:val="0"/>
                <w:numId w:val="25"/>
              </w:numPr>
              <w:spacing w:after="240"/>
              <w:ind w:left="136" w:hanging="136"/>
              <w:contextualSpacing/>
              <w:rPr>
                <w:rFonts w:ascii="Arial" w:hAnsi="Arial" w:cs="Arial"/>
                <w:sz w:val="18"/>
                <w:szCs w:val="18"/>
              </w:rPr>
            </w:pPr>
            <w:r w:rsidRPr="00690F06">
              <w:rPr>
                <w:rFonts w:ascii="Arial" w:hAnsi="Arial" w:cs="Arial"/>
                <w:sz w:val="18"/>
                <w:szCs w:val="18"/>
              </w:rPr>
              <w:t>bedding, such as sheets, pillow cases doona covers sleeping bags; and</w:t>
            </w:r>
          </w:p>
          <w:p w:rsidR="00D362A3" w:rsidRPr="00690F06" w:rsidRDefault="00D362A3" w:rsidP="00D362A3">
            <w:pPr>
              <w:numPr>
                <w:ilvl w:val="0"/>
                <w:numId w:val="25"/>
              </w:numPr>
              <w:spacing w:after="240"/>
              <w:ind w:left="136" w:hanging="136"/>
              <w:contextualSpacing/>
              <w:rPr>
                <w:rFonts w:ascii="Arial" w:hAnsi="Arial" w:cs="Arial"/>
                <w:b/>
              </w:rPr>
            </w:pPr>
            <w:r w:rsidRPr="00690F06">
              <w:rPr>
                <w:rFonts w:ascii="Arial" w:hAnsi="Arial" w:cs="Arial"/>
                <w:sz w:val="18"/>
                <w:szCs w:val="18"/>
              </w:rPr>
              <w:t>yarn and fabrics supplied to consumers where the finished article is likely to be in direct and prolonged contact with the skin.</w:t>
            </w:r>
          </w:p>
        </w:tc>
      </w:tr>
    </w:tbl>
    <w:p w:rsidR="00CB6994" w:rsidRPr="006B5B04" w:rsidRDefault="00CB6994" w:rsidP="00E91CD0">
      <w:pPr>
        <w:spacing w:after="240"/>
        <w:rPr>
          <w:rFonts w:cs="Arial"/>
        </w:rPr>
      </w:pPr>
    </w:p>
    <w:sectPr w:rsidR="00CB6994" w:rsidRPr="006B5B04" w:rsidSect="00F3317A">
      <w:pgSz w:w="16834" w:h="11909" w:orient="landscape" w:code="9"/>
      <w:pgMar w:top="1440" w:right="1440" w:bottom="1440" w:left="1440" w:header="794" w:footer="1440"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EF" w:rsidRDefault="002239EF" w:rsidP="003442EC">
      <w:r>
        <w:separator/>
      </w:r>
    </w:p>
  </w:endnote>
  <w:endnote w:type="continuationSeparator" w:id="0">
    <w:p w:rsidR="002239EF" w:rsidRDefault="002239EF" w:rsidP="0034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Warnock Pro">
    <w:altName w:val="Warnock Pro"/>
    <w:panose1 w:val="00000000000000000000"/>
    <w:charset w:val="00"/>
    <w:family w:val="roman"/>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Lucida Fax">
    <w:panose1 w:val="02060602050505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EF" w:rsidRDefault="00223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9EF" w:rsidRDefault="002239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EF" w:rsidRDefault="002239EF">
    <w:pPr>
      <w:pStyle w:val="Footer"/>
      <w:jc w:val="center"/>
    </w:pPr>
    <w:r>
      <w:fldChar w:fldCharType="begin"/>
    </w:r>
    <w:r>
      <w:instrText xml:space="preserve"> PAGE   \* MERGEFORMAT </w:instrText>
    </w:r>
    <w:r>
      <w:fldChar w:fldCharType="separate"/>
    </w:r>
    <w:r w:rsidR="00F35BE0">
      <w:rPr>
        <w:noProof/>
      </w:rPr>
      <w:t>- 33 -</w:t>
    </w:r>
    <w:r>
      <w:fldChar w:fldCharType="end"/>
    </w:r>
  </w:p>
  <w:p w:rsidR="002239EF" w:rsidRDefault="00223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EF" w:rsidRDefault="002239EF" w:rsidP="003442EC">
      <w:r>
        <w:separator/>
      </w:r>
    </w:p>
  </w:footnote>
  <w:footnote w:type="continuationSeparator" w:id="0">
    <w:p w:rsidR="002239EF" w:rsidRDefault="002239EF" w:rsidP="003442EC">
      <w:r>
        <w:continuationSeparator/>
      </w:r>
    </w:p>
  </w:footnote>
  <w:footnote w:id="1">
    <w:p w:rsidR="002239EF" w:rsidRPr="000B6516" w:rsidRDefault="002239EF" w:rsidP="00EF1EA3">
      <w:pPr>
        <w:pStyle w:val="FootnoteText"/>
        <w:ind w:left="709" w:hanging="709"/>
        <w:rPr>
          <w:sz w:val="16"/>
          <w:szCs w:val="16"/>
          <w:lang w:val="en-AU"/>
        </w:rPr>
      </w:pPr>
      <w:r w:rsidRPr="000B6516">
        <w:rPr>
          <w:rStyle w:val="FootnoteReference"/>
          <w:sz w:val="16"/>
          <w:szCs w:val="16"/>
        </w:rPr>
        <w:footnoteRef/>
      </w:r>
      <w:r w:rsidRPr="000B6516">
        <w:rPr>
          <w:sz w:val="16"/>
          <w:szCs w:val="16"/>
        </w:rPr>
        <w:t xml:space="preserve"> </w:t>
      </w:r>
      <w:r w:rsidRPr="000B6516">
        <w:rPr>
          <w:sz w:val="16"/>
          <w:szCs w:val="16"/>
          <w:lang w:val="en-AU"/>
        </w:rPr>
        <w:tab/>
      </w:r>
      <w:r w:rsidRPr="000B6516">
        <w:rPr>
          <w:i/>
          <w:sz w:val="16"/>
          <w:szCs w:val="16"/>
          <w:lang w:val="en-AU"/>
        </w:rPr>
        <w:t>The Australian Government Guide to Regulation</w:t>
      </w:r>
      <w:r w:rsidRPr="000B6516">
        <w:rPr>
          <w:sz w:val="16"/>
          <w:szCs w:val="16"/>
          <w:lang w:val="en-AU"/>
        </w:rPr>
        <w:t xml:space="preserve"> is available on the cutting red tape website - </w:t>
      </w:r>
      <w:hyperlink r:id="rId1" w:history="1">
        <w:r w:rsidRPr="000B6516">
          <w:rPr>
            <w:rStyle w:val="Hyperlink"/>
            <w:sz w:val="16"/>
            <w:szCs w:val="16"/>
            <w:lang w:val="en-AU"/>
          </w:rPr>
          <w:t>http://www.cuttingredtape.gov.au/sites/default/files/documents/australian_government_guide_regulation.pdf</w:t>
        </w:r>
      </w:hyperlink>
      <w:r>
        <w:rPr>
          <w:rStyle w:val="Hyperlink"/>
          <w:sz w:val="16"/>
          <w:szCs w:val="16"/>
          <w:lang w:val="en-AU"/>
        </w:rPr>
        <w:t>.</w:t>
      </w:r>
    </w:p>
  </w:footnote>
  <w:footnote w:id="2">
    <w:p w:rsidR="002239EF" w:rsidRPr="00BE7D97" w:rsidRDefault="002239EF" w:rsidP="00EF1EA3">
      <w:pPr>
        <w:pStyle w:val="FootnoteText"/>
        <w:rPr>
          <w:sz w:val="16"/>
          <w:szCs w:val="16"/>
          <w:lang w:val="en-AU"/>
        </w:rPr>
      </w:pPr>
      <w:r w:rsidRPr="00BE7D97">
        <w:rPr>
          <w:rStyle w:val="FootnoteReference"/>
          <w:sz w:val="16"/>
          <w:szCs w:val="16"/>
        </w:rPr>
        <w:footnoteRef/>
      </w:r>
      <w:r w:rsidRPr="00BE7D97">
        <w:rPr>
          <w:sz w:val="16"/>
          <w:szCs w:val="16"/>
        </w:rPr>
        <w:t xml:space="preserve"> </w:t>
      </w:r>
      <w:r>
        <w:rPr>
          <w:sz w:val="16"/>
          <w:szCs w:val="16"/>
          <w:lang w:val="en-AU"/>
        </w:rPr>
        <w:tab/>
        <w:t>i</w:t>
      </w:r>
      <w:r w:rsidRPr="00BE7D97">
        <w:rPr>
          <w:sz w:val="16"/>
          <w:szCs w:val="16"/>
          <w:lang w:val="en-AU"/>
        </w:rPr>
        <w:t>bid</w:t>
      </w:r>
      <w:r>
        <w:rPr>
          <w:sz w:val="16"/>
          <w:szCs w:val="16"/>
          <w:lang w:val="en-AU"/>
        </w:rPr>
        <w:t>.</w:t>
      </w:r>
      <w:r w:rsidRPr="00BE7D97">
        <w:rPr>
          <w:sz w:val="16"/>
          <w:szCs w:val="16"/>
          <w:lang w:val="en-AU"/>
        </w:rPr>
        <w:t>, p.</w:t>
      </w:r>
      <w:r>
        <w:rPr>
          <w:sz w:val="16"/>
          <w:szCs w:val="16"/>
          <w:lang w:val="en-AU"/>
        </w:rPr>
        <w:t> </w:t>
      </w:r>
      <w:r w:rsidRPr="00BE7D97">
        <w:rPr>
          <w:sz w:val="16"/>
          <w:szCs w:val="16"/>
          <w:lang w:val="en-AU"/>
        </w:rPr>
        <w:t>4.</w:t>
      </w:r>
    </w:p>
  </w:footnote>
  <w:footnote w:id="3">
    <w:p w:rsidR="002239EF" w:rsidRPr="00BE7D97" w:rsidRDefault="002239EF" w:rsidP="00EF1EA3">
      <w:pPr>
        <w:pStyle w:val="FootnoteText"/>
        <w:rPr>
          <w:sz w:val="16"/>
          <w:szCs w:val="16"/>
          <w:lang w:val="en-AU"/>
        </w:rPr>
      </w:pPr>
      <w:r w:rsidRPr="00BE7D97">
        <w:rPr>
          <w:rStyle w:val="FootnoteReference"/>
          <w:sz w:val="16"/>
          <w:szCs w:val="16"/>
        </w:rPr>
        <w:footnoteRef/>
      </w:r>
      <w:r w:rsidRPr="00BE7D97">
        <w:rPr>
          <w:sz w:val="16"/>
          <w:szCs w:val="16"/>
        </w:rPr>
        <w:t xml:space="preserve"> </w:t>
      </w:r>
      <w:r>
        <w:rPr>
          <w:sz w:val="16"/>
          <w:szCs w:val="16"/>
        </w:rPr>
        <w:tab/>
        <w:t>i</w:t>
      </w:r>
      <w:r w:rsidRPr="00BE7D97">
        <w:rPr>
          <w:sz w:val="16"/>
          <w:szCs w:val="16"/>
          <w:lang w:val="en-AU"/>
        </w:rPr>
        <w:t>bid</w:t>
      </w:r>
      <w:r>
        <w:rPr>
          <w:sz w:val="16"/>
          <w:szCs w:val="16"/>
          <w:lang w:val="en-AU"/>
        </w:rPr>
        <w:t>.</w:t>
      </w:r>
      <w:r w:rsidRPr="00BE7D97">
        <w:rPr>
          <w:sz w:val="16"/>
          <w:szCs w:val="16"/>
          <w:lang w:val="en-AU"/>
        </w:rPr>
        <w:t>, p.</w:t>
      </w:r>
      <w:r>
        <w:rPr>
          <w:sz w:val="16"/>
          <w:szCs w:val="16"/>
          <w:lang w:val="en-AU"/>
        </w:rPr>
        <w:t> </w:t>
      </w:r>
      <w:r w:rsidRPr="00BE7D97">
        <w:rPr>
          <w:sz w:val="16"/>
          <w:szCs w:val="16"/>
          <w:lang w:val="en-AU"/>
        </w:rPr>
        <w:t>19.</w:t>
      </w:r>
    </w:p>
  </w:footnote>
  <w:footnote w:id="4">
    <w:p w:rsidR="002239EF" w:rsidRPr="00BD7EB5" w:rsidRDefault="002239EF" w:rsidP="00EF1EA3">
      <w:pPr>
        <w:pStyle w:val="FootnoteText"/>
        <w:rPr>
          <w:lang w:val="en-AU"/>
        </w:rPr>
      </w:pPr>
      <w:r w:rsidRPr="00BE7D97">
        <w:rPr>
          <w:rStyle w:val="FootnoteReference"/>
          <w:sz w:val="16"/>
          <w:szCs w:val="16"/>
        </w:rPr>
        <w:footnoteRef/>
      </w:r>
      <w:r w:rsidRPr="00BE7D97">
        <w:rPr>
          <w:sz w:val="16"/>
          <w:szCs w:val="16"/>
        </w:rPr>
        <w:t xml:space="preserve"> </w:t>
      </w:r>
      <w:r>
        <w:rPr>
          <w:sz w:val="16"/>
          <w:szCs w:val="16"/>
        </w:rPr>
        <w:tab/>
      </w:r>
      <w:proofErr w:type="gramStart"/>
      <w:r>
        <w:rPr>
          <w:sz w:val="16"/>
          <w:szCs w:val="16"/>
        </w:rPr>
        <w:t>i</w:t>
      </w:r>
      <w:r w:rsidRPr="00BE7D97">
        <w:rPr>
          <w:sz w:val="16"/>
          <w:szCs w:val="16"/>
          <w:lang w:val="en-AU"/>
        </w:rPr>
        <w:t>bid</w:t>
      </w:r>
      <w:r>
        <w:rPr>
          <w:sz w:val="16"/>
          <w:szCs w:val="16"/>
          <w:lang w:val="en-AU"/>
        </w:rPr>
        <w:t>.</w:t>
      </w:r>
      <w:r w:rsidRPr="00BE7D97">
        <w:rPr>
          <w:sz w:val="16"/>
          <w:szCs w:val="16"/>
          <w:lang w:val="en-AU"/>
        </w:rPr>
        <w:t>,</w:t>
      </w:r>
      <w:proofErr w:type="gramEnd"/>
      <w:r w:rsidRPr="00BE7D97">
        <w:rPr>
          <w:sz w:val="16"/>
          <w:szCs w:val="16"/>
          <w:lang w:val="en-AU"/>
        </w:rPr>
        <w:t xml:space="preserve"> p. 5.</w:t>
      </w:r>
    </w:p>
  </w:footnote>
  <w:footnote w:id="5">
    <w:p w:rsidR="002239EF" w:rsidRPr="00502B5F" w:rsidRDefault="002239EF" w:rsidP="00EF1EA3">
      <w:pPr>
        <w:pStyle w:val="FootnoteText"/>
        <w:ind w:left="709" w:hanging="709"/>
        <w:rPr>
          <w:lang w:val="en-AU"/>
        </w:rPr>
      </w:pPr>
      <w:r w:rsidRPr="000B6516">
        <w:rPr>
          <w:rStyle w:val="FootnoteReference"/>
          <w:rFonts w:cs="Arial"/>
          <w:sz w:val="16"/>
          <w:szCs w:val="16"/>
        </w:rPr>
        <w:footnoteRef/>
      </w:r>
      <w:r w:rsidRPr="000B6516">
        <w:rPr>
          <w:rFonts w:cs="Arial"/>
          <w:sz w:val="16"/>
          <w:szCs w:val="16"/>
        </w:rPr>
        <w:t xml:space="preserve"> </w:t>
      </w:r>
      <w:r w:rsidRPr="000B6516">
        <w:rPr>
          <w:rFonts w:cs="Arial"/>
          <w:sz w:val="16"/>
          <w:szCs w:val="16"/>
          <w:lang w:val="en-AU"/>
        </w:rPr>
        <w:tab/>
      </w:r>
      <w:r w:rsidRPr="000B6516">
        <w:rPr>
          <w:rFonts w:cs="Arial"/>
          <w:color w:val="000000"/>
          <w:sz w:val="16"/>
          <w:szCs w:val="16"/>
          <w:lang w:val="en-AU"/>
        </w:rPr>
        <w:t xml:space="preserve">The Parliament of the Commonwealth of Australia, Senate, </w:t>
      </w:r>
      <w:r w:rsidRPr="002B4DAC">
        <w:rPr>
          <w:rFonts w:cs="Arial"/>
          <w:i/>
          <w:color w:val="000000"/>
          <w:sz w:val="16"/>
          <w:szCs w:val="16"/>
          <w:lang w:val="en-AU"/>
        </w:rPr>
        <w:t>Trade Practices Act Amendment Bill</w:t>
      </w:r>
      <w:r>
        <w:rPr>
          <w:rFonts w:cs="Arial"/>
          <w:i/>
          <w:color w:val="000000"/>
          <w:sz w:val="16"/>
          <w:szCs w:val="16"/>
          <w:lang w:val="en-AU"/>
        </w:rPr>
        <w:t> </w:t>
      </w:r>
      <w:r w:rsidRPr="002B4DAC">
        <w:rPr>
          <w:rFonts w:cs="Arial"/>
          <w:i/>
          <w:color w:val="000000"/>
          <w:sz w:val="16"/>
          <w:szCs w:val="16"/>
          <w:lang w:val="en-AU"/>
        </w:rPr>
        <w:t>1992, Explanatory Memorandum</w:t>
      </w:r>
      <w:r w:rsidRPr="000B6516">
        <w:rPr>
          <w:rFonts w:cs="Arial"/>
          <w:color w:val="000000"/>
          <w:sz w:val="16"/>
          <w:szCs w:val="16"/>
          <w:lang w:val="en-AU"/>
        </w:rPr>
        <w:t>, p.</w:t>
      </w:r>
      <w:r>
        <w:rPr>
          <w:rFonts w:cs="Arial"/>
          <w:color w:val="000000"/>
          <w:sz w:val="16"/>
          <w:szCs w:val="16"/>
          <w:lang w:val="en-AU"/>
        </w:rPr>
        <w:t> </w:t>
      </w:r>
      <w:r w:rsidRPr="000B6516">
        <w:rPr>
          <w:rFonts w:cs="Arial"/>
          <w:color w:val="000000"/>
          <w:sz w:val="16"/>
          <w:szCs w:val="16"/>
          <w:lang w:val="en-AU"/>
        </w:rPr>
        <w:t>2.</w:t>
      </w:r>
    </w:p>
  </w:footnote>
  <w:footnote w:id="6">
    <w:p w:rsidR="002239EF" w:rsidRPr="000B6516" w:rsidRDefault="002239EF" w:rsidP="00EF1EA3">
      <w:pPr>
        <w:pStyle w:val="FootnoteText"/>
        <w:ind w:left="709" w:hanging="709"/>
        <w:rPr>
          <w:sz w:val="16"/>
          <w:szCs w:val="16"/>
          <w:lang w:val="en-AU"/>
        </w:rPr>
      </w:pPr>
      <w:r w:rsidRPr="000B6516">
        <w:rPr>
          <w:rStyle w:val="FootnoteReference"/>
          <w:sz w:val="16"/>
          <w:szCs w:val="16"/>
        </w:rPr>
        <w:footnoteRef/>
      </w:r>
      <w:r w:rsidRPr="000B6516">
        <w:rPr>
          <w:sz w:val="16"/>
          <w:szCs w:val="16"/>
        </w:rPr>
        <w:t xml:space="preserve"> </w:t>
      </w:r>
      <w:r w:rsidRPr="000B6516">
        <w:rPr>
          <w:sz w:val="16"/>
          <w:szCs w:val="16"/>
        </w:rPr>
        <w:tab/>
      </w:r>
      <w:r>
        <w:rPr>
          <w:sz w:val="16"/>
          <w:szCs w:val="16"/>
        </w:rPr>
        <w:t>ibid.,</w:t>
      </w:r>
      <w:r w:rsidRPr="000B6516">
        <w:rPr>
          <w:color w:val="000000"/>
          <w:sz w:val="16"/>
          <w:szCs w:val="16"/>
          <w:lang w:val="en-AU"/>
        </w:rPr>
        <w:t xml:space="preserve"> p.</w:t>
      </w:r>
      <w:r>
        <w:rPr>
          <w:color w:val="000000"/>
          <w:sz w:val="16"/>
          <w:szCs w:val="16"/>
          <w:lang w:val="en-AU"/>
        </w:rPr>
        <w:t> </w:t>
      </w:r>
      <w:r>
        <w:rPr>
          <w:sz w:val="16"/>
          <w:szCs w:val="16"/>
        </w:rPr>
        <w:t>2</w:t>
      </w:r>
      <w:r w:rsidRPr="000B6516">
        <w:rPr>
          <w:color w:val="000000"/>
          <w:sz w:val="16"/>
          <w:szCs w:val="16"/>
          <w:lang w:val="en-AU"/>
        </w:rPr>
        <w:t>.</w:t>
      </w:r>
    </w:p>
  </w:footnote>
  <w:footnote w:id="7">
    <w:p w:rsidR="002239EF" w:rsidRPr="00E05D43" w:rsidRDefault="002239EF" w:rsidP="00EF1EA3">
      <w:pPr>
        <w:pStyle w:val="FootnoteText"/>
        <w:rPr>
          <w:lang w:val="en-AU"/>
        </w:rPr>
      </w:pPr>
      <w:r w:rsidRPr="000B6516">
        <w:rPr>
          <w:rStyle w:val="FootnoteReference"/>
          <w:sz w:val="16"/>
          <w:szCs w:val="16"/>
        </w:rPr>
        <w:footnoteRef/>
      </w:r>
      <w:r w:rsidRPr="000B6516">
        <w:rPr>
          <w:sz w:val="16"/>
          <w:szCs w:val="16"/>
        </w:rPr>
        <w:t xml:space="preserve"> </w:t>
      </w:r>
      <w:r>
        <w:rPr>
          <w:sz w:val="16"/>
          <w:szCs w:val="16"/>
          <w:lang w:val="en-AU"/>
        </w:rPr>
        <w:tab/>
      </w:r>
      <w:r w:rsidRPr="000B6516">
        <w:rPr>
          <w:sz w:val="16"/>
          <w:szCs w:val="16"/>
          <w:lang w:val="en-AU"/>
        </w:rPr>
        <w:t xml:space="preserve">This first tranche of randomly selected goods had a construction or use pattern that could lead to </w:t>
      </w:r>
      <w:r>
        <w:rPr>
          <w:sz w:val="16"/>
          <w:szCs w:val="16"/>
          <w:lang w:val="en-AU"/>
        </w:rPr>
        <w:t>exposure</w:t>
      </w:r>
      <w:r w:rsidRPr="000B6516">
        <w:rPr>
          <w:sz w:val="16"/>
          <w:szCs w:val="16"/>
          <w:lang w:val="en-AU"/>
        </w:rPr>
        <w:t>.</w:t>
      </w:r>
      <w:r>
        <w:rPr>
          <w:lang w:val="en-AU"/>
        </w:rPr>
        <w:t xml:space="preserve"> </w:t>
      </w:r>
    </w:p>
  </w:footnote>
  <w:footnote w:id="8">
    <w:p w:rsidR="002239EF" w:rsidRPr="00682995" w:rsidRDefault="002239EF" w:rsidP="00EF1EA3">
      <w:pPr>
        <w:pStyle w:val="FootnoteText"/>
        <w:ind w:left="709" w:hanging="709"/>
        <w:rPr>
          <w:sz w:val="16"/>
          <w:szCs w:val="16"/>
          <w:lang w:val="en-AU"/>
        </w:rPr>
      </w:pPr>
      <w:r w:rsidRPr="00682995">
        <w:rPr>
          <w:rStyle w:val="FootnoteReference"/>
          <w:sz w:val="16"/>
          <w:szCs w:val="16"/>
        </w:rPr>
        <w:footnoteRef/>
      </w:r>
      <w:r w:rsidRPr="001B7101">
        <w:rPr>
          <w:rStyle w:val="FootnoteReference"/>
        </w:rPr>
        <w:t xml:space="preserve"> </w:t>
      </w:r>
      <w:r w:rsidRPr="00682995">
        <w:rPr>
          <w:sz w:val="16"/>
          <w:szCs w:val="16"/>
          <w:lang w:val="en-AU"/>
        </w:rPr>
        <w:tab/>
        <w:t xml:space="preserve">These aromatic amines are either known human carcinogens or suspected to be human carcinogens because they are known to be carcinogenic </w:t>
      </w:r>
      <w:r>
        <w:rPr>
          <w:sz w:val="16"/>
          <w:szCs w:val="16"/>
          <w:lang w:val="en-AU"/>
        </w:rPr>
        <w:t>in</w:t>
      </w:r>
      <w:r w:rsidRPr="00682995">
        <w:rPr>
          <w:sz w:val="16"/>
          <w:szCs w:val="16"/>
          <w:lang w:val="en-AU"/>
        </w:rPr>
        <w:t xml:space="preserve"> animals.</w:t>
      </w:r>
    </w:p>
  </w:footnote>
  <w:footnote w:id="9">
    <w:p w:rsidR="002239EF" w:rsidRPr="00682995" w:rsidRDefault="002239EF" w:rsidP="00EF1EA3">
      <w:pPr>
        <w:pStyle w:val="FootnoteText"/>
        <w:ind w:left="709" w:hanging="709"/>
        <w:rPr>
          <w:sz w:val="16"/>
          <w:szCs w:val="16"/>
          <w:lang w:val="en-AU"/>
        </w:rPr>
      </w:pPr>
      <w:r w:rsidRPr="00682995">
        <w:rPr>
          <w:rStyle w:val="FootnoteReference"/>
          <w:sz w:val="16"/>
          <w:szCs w:val="16"/>
        </w:rPr>
        <w:footnoteRef/>
      </w:r>
      <w:r w:rsidRPr="00682995">
        <w:rPr>
          <w:sz w:val="16"/>
          <w:szCs w:val="16"/>
        </w:rPr>
        <w:t xml:space="preserve"> </w:t>
      </w:r>
      <w:r w:rsidRPr="00682995">
        <w:rPr>
          <w:sz w:val="16"/>
          <w:szCs w:val="16"/>
          <w:lang w:val="en-AU"/>
        </w:rPr>
        <w:tab/>
        <w:t xml:space="preserve">International Agency for Research on Cancer, </w:t>
      </w:r>
      <w:r w:rsidRPr="00682995">
        <w:rPr>
          <w:i/>
          <w:sz w:val="16"/>
          <w:szCs w:val="16"/>
          <w:lang w:val="en-AU"/>
        </w:rPr>
        <w:t>Monographs on the Evaluation of Carcinogenic risks to humans, List of classifications by alphabetical order</w:t>
      </w:r>
      <w:r w:rsidRPr="00682995">
        <w:rPr>
          <w:sz w:val="16"/>
          <w:szCs w:val="16"/>
          <w:lang w:val="en-AU"/>
        </w:rPr>
        <w:t>, last updated 31</w:t>
      </w:r>
      <w:r>
        <w:rPr>
          <w:sz w:val="16"/>
          <w:szCs w:val="16"/>
          <w:lang w:val="en-AU"/>
        </w:rPr>
        <w:t> </w:t>
      </w:r>
      <w:r w:rsidRPr="00682995">
        <w:rPr>
          <w:sz w:val="16"/>
          <w:szCs w:val="16"/>
          <w:lang w:val="en-AU"/>
        </w:rPr>
        <w:t>March</w:t>
      </w:r>
      <w:r>
        <w:rPr>
          <w:sz w:val="16"/>
          <w:szCs w:val="16"/>
          <w:lang w:val="en-AU"/>
        </w:rPr>
        <w:t> </w:t>
      </w:r>
      <w:r w:rsidRPr="00682995">
        <w:rPr>
          <w:sz w:val="16"/>
          <w:szCs w:val="16"/>
          <w:lang w:val="en-AU"/>
        </w:rPr>
        <w:t xml:space="preserve">2014, </w:t>
      </w:r>
      <w:r>
        <w:rPr>
          <w:sz w:val="16"/>
          <w:szCs w:val="16"/>
          <w:lang w:val="en-AU"/>
        </w:rPr>
        <w:t>viewed 21 August 2014,</w:t>
      </w:r>
      <w:r w:rsidRPr="00682995">
        <w:rPr>
          <w:sz w:val="16"/>
          <w:szCs w:val="16"/>
        </w:rPr>
        <w:t xml:space="preserve"> </w:t>
      </w:r>
      <w:hyperlink r:id="rId2" w:history="1">
        <w:r w:rsidRPr="00682995">
          <w:rPr>
            <w:rStyle w:val="Hyperlink"/>
            <w:sz w:val="16"/>
            <w:szCs w:val="16"/>
            <w:lang w:val="en-AU"/>
          </w:rPr>
          <w:t>http://monographs.iarc.fr/ENG/Classification/ClassificationsAlphaOrder.pdf</w:t>
        </w:r>
      </w:hyperlink>
      <w:r w:rsidRPr="00682995">
        <w:rPr>
          <w:rStyle w:val="Hyperlink"/>
          <w:sz w:val="16"/>
          <w:szCs w:val="16"/>
          <w:lang w:val="en-AU"/>
        </w:rPr>
        <w:t>.</w:t>
      </w:r>
    </w:p>
  </w:footnote>
  <w:footnote w:id="10">
    <w:p w:rsidR="002239EF" w:rsidRPr="00682995" w:rsidRDefault="002239EF" w:rsidP="00EF1EA3">
      <w:pPr>
        <w:pStyle w:val="FootnoteText"/>
        <w:ind w:left="709" w:hanging="709"/>
        <w:rPr>
          <w:sz w:val="16"/>
          <w:szCs w:val="16"/>
          <w:lang w:val="en-AU"/>
        </w:rPr>
      </w:pPr>
      <w:r w:rsidRPr="00682995">
        <w:rPr>
          <w:rStyle w:val="FootnoteReference"/>
          <w:sz w:val="16"/>
          <w:szCs w:val="16"/>
        </w:rPr>
        <w:footnoteRef/>
      </w:r>
      <w:r w:rsidRPr="00682995">
        <w:rPr>
          <w:sz w:val="16"/>
          <w:szCs w:val="16"/>
        </w:rPr>
        <w:t xml:space="preserve"> </w:t>
      </w:r>
      <w:r w:rsidRPr="00682995">
        <w:rPr>
          <w:sz w:val="16"/>
          <w:szCs w:val="16"/>
        </w:rPr>
        <w:tab/>
        <w:t>ibid.</w:t>
      </w:r>
      <w:r w:rsidRPr="00682995" w:rsidDel="00E6232C">
        <w:rPr>
          <w:sz w:val="16"/>
          <w:szCs w:val="16"/>
          <w:lang w:val="en-AU"/>
        </w:rPr>
        <w:t xml:space="preserve"> </w:t>
      </w:r>
    </w:p>
  </w:footnote>
  <w:footnote w:id="11">
    <w:p w:rsidR="002239EF" w:rsidRPr="00DE5B35" w:rsidRDefault="002239EF" w:rsidP="00EF1EA3">
      <w:pPr>
        <w:pStyle w:val="FootnoteText"/>
        <w:ind w:left="709" w:hanging="709"/>
        <w:rPr>
          <w:lang w:val="en-AU"/>
        </w:rPr>
      </w:pPr>
      <w:r w:rsidRPr="00682995">
        <w:rPr>
          <w:rStyle w:val="FootnoteReference"/>
          <w:sz w:val="16"/>
          <w:szCs w:val="16"/>
        </w:rPr>
        <w:footnoteRef/>
      </w:r>
      <w:r w:rsidRPr="00682995">
        <w:rPr>
          <w:sz w:val="16"/>
          <w:szCs w:val="16"/>
        </w:rPr>
        <w:t xml:space="preserve"> </w:t>
      </w:r>
      <w:r w:rsidRPr="00682995">
        <w:rPr>
          <w:sz w:val="16"/>
          <w:szCs w:val="16"/>
        </w:rPr>
        <w:tab/>
      </w:r>
      <w:r w:rsidRPr="00682995">
        <w:rPr>
          <w:sz w:val="16"/>
          <w:szCs w:val="16"/>
          <w:lang w:val="en-AU"/>
        </w:rPr>
        <w:t>National Industrial Chemical Notification and Assessment Scheme, 6</w:t>
      </w:r>
      <w:r>
        <w:rPr>
          <w:sz w:val="16"/>
          <w:szCs w:val="16"/>
          <w:lang w:val="en-AU"/>
        </w:rPr>
        <w:t> </w:t>
      </w:r>
      <w:r w:rsidRPr="00682995">
        <w:rPr>
          <w:sz w:val="16"/>
          <w:szCs w:val="16"/>
          <w:lang w:val="en-AU"/>
        </w:rPr>
        <w:t>June</w:t>
      </w:r>
      <w:r>
        <w:rPr>
          <w:sz w:val="16"/>
          <w:szCs w:val="16"/>
          <w:lang w:val="en-AU"/>
        </w:rPr>
        <w:t> </w:t>
      </w:r>
      <w:r w:rsidRPr="00682995">
        <w:rPr>
          <w:sz w:val="16"/>
          <w:szCs w:val="16"/>
          <w:lang w:val="en-AU"/>
        </w:rPr>
        <w:t xml:space="preserve">2013, </w:t>
      </w:r>
      <w:r w:rsidRPr="00682995">
        <w:rPr>
          <w:i/>
          <w:sz w:val="16"/>
          <w:szCs w:val="16"/>
          <w:lang w:val="en-AU"/>
        </w:rPr>
        <w:t>Inventory Multi-Tiered Assessment and Prioritisation Human Health Tier II Assessment for Benzidine-Based Dyes</w:t>
      </w:r>
      <w:r w:rsidRPr="00682995">
        <w:rPr>
          <w:sz w:val="16"/>
          <w:szCs w:val="16"/>
          <w:lang w:val="en-AU"/>
        </w:rPr>
        <w:t xml:space="preserve">, </w:t>
      </w:r>
      <w:r>
        <w:rPr>
          <w:sz w:val="16"/>
          <w:szCs w:val="16"/>
          <w:lang w:val="en-AU"/>
        </w:rPr>
        <w:t>viewed 21 July 2014,</w:t>
      </w:r>
      <w:r w:rsidRPr="00682995">
        <w:rPr>
          <w:sz w:val="16"/>
          <w:szCs w:val="16"/>
          <w:lang w:val="en-AU"/>
        </w:rPr>
        <w:t xml:space="preserve"> </w:t>
      </w:r>
      <w:hyperlink r:id="rId3" w:history="1">
        <w:r w:rsidRPr="00682995">
          <w:rPr>
            <w:rStyle w:val="Hyperlink"/>
            <w:sz w:val="16"/>
            <w:szCs w:val="16"/>
            <w:lang w:val="en-AU"/>
          </w:rPr>
          <w:t>http://www.nicnas.gov.au/chemical-information/imap-assessments/imap-group-assessment-report?assessment_id=513</w:t>
        </w:r>
      </w:hyperlink>
      <w:r w:rsidRPr="00682995">
        <w:rPr>
          <w:rStyle w:val="Hyperlink"/>
          <w:sz w:val="16"/>
          <w:szCs w:val="16"/>
          <w:lang w:val="en-AU"/>
        </w:rPr>
        <w:t>.</w:t>
      </w:r>
    </w:p>
  </w:footnote>
  <w:footnote w:id="12">
    <w:p w:rsidR="002239EF" w:rsidRPr="000B6516" w:rsidRDefault="002239EF" w:rsidP="00EF1EA3">
      <w:pPr>
        <w:pStyle w:val="FootnoteText"/>
        <w:ind w:left="709" w:hanging="709"/>
        <w:rPr>
          <w:sz w:val="16"/>
          <w:szCs w:val="16"/>
          <w:lang w:val="en-AU"/>
        </w:rPr>
      </w:pPr>
      <w:r w:rsidRPr="000B6516">
        <w:rPr>
          <w:rStyle w:val="FootnoteReference"/>
          <w:sz w:val="16"/>
          <w:szCs w:val="16"/>
        </w:rPr>
        <w:footnoteRef/>
      </w:r>
      <w:r w:rsidRPr="000B6516">
        <w:rPr>
          <w:sz w:val="16"/>
          <w:szCs w:val="16"/>
        </w:rPr>
        <w:t xml:space="preserve"> </w:t>
      </w:r>
      <w:r w:rsidRPr="000B6516">
        <w:rPr>
          <w:sz w:val="16"/>
          <w:szCs w:val="16"/>
        </w:rPr>
        <w:tab/>
      </w:r>
      <w:r>
        <w:rPr>
          <w:sz w:val="16"/>
          <w:szCs w:val="16"/>
        </w:rPr>
        <w:t>i</w:t>
      </w:r>
      <w:r w:rsidRPr="000B6516">
        <w:rPr>
          <w:sz w:val="16"/>
          <w:szCs w:val="16"/>
          <w:lang w:val="en-AU"/>
        </w:rPr>
        <w:t>bid.</w:t>
      </w:r>
    </w:p>
  </w:footnote>
  <w:footnote w:id="13">
    <w:p w:rsidR="002239EF" w:rsidRPr="000B6516" w:rsidRDefault="002239EF" w:rsidP="00EF1EA3">
      <w:pPr>
        <w:pStyle w:val="FootnoteText"/>
        <w:ind w:left="709" w:hanging="709"/>
        <w:rPr>
          <w:sz w:val="16"/>
          <w:szCs w:val="16"/>
          <w:lang w:val="en-AU"/>
        </w:rPr>
      </w:pPr>
      <w:r w:rsidRPr="000B6516">
        <w:rPr>
          <w:rStyle w:val="FootnoteReference"/>
          <w:sz w:val="16"/>
          <w:szCs w:val="16"/>
        </w:rPr>
        <w:footnoteRef/>
      </w:r>
      <w:r w:rsidRPr="000B6516">
        <w:rPr>
          <w:sz w:val="16"/>
          <w:szCs w:val="16"/>
        </w:rPr>
        <w:t xml:space="preserve"> </w:t>
      </w:r>
      <w:r w:rsidRPr="000B6516">
        <w:rPr>
          <w:sz w:val="16"/>
          <w:szCs w:val="16"/>
          <w:lang w:val="en-AU"/>
        </w:rPr>
        <w:tab/>
      </w:r>
      <w:r>
        <w:rPr>
          <w:sz w:val="16"/>
          <w:szCs w:val="16"/>
          <w:lang w:val="en-AU"/>
        </w:rPr>
        <w:t>i</w:t>
      </w:r>
      <w:r w:rsidRPr="000B6516">
        <w:rPr>
          <w:sz w:val="16"/>
          <w:szCs w:val="16"/>
          <w:lang w:val="en-AU"/>
        </w:rPr>
        <w:t>bid.</w:t>
      </w:r>
    </w:p>
  </w:footnote>
  <w:footnote w:id="14">
    <w:p w:rsidR="002239EF" w:rsidRPr="000B6516" w:rsidRDefault="002239EF" w:rsidP="00E95200">
      <w:pPr>
        <w:pStyle w:val="FootnoteText"/>
        <w:ind w:left="709" w:hanging="709"/>
        <w:rPr>
          <w:sz w:val="16"/>
          <w:szCs w:val="16"/>
          <w:lang w:val="en-AU"/>
        </w:rPr>
      </w:pPr>
      <w:r w:rsidRPr="000B6516">
        <w:rPr>
          <w:rStyle w:val="FootnoteReference"/>
          <w:sz w:val="16"/>
          <w:szCs w:val="16"/>
        </w:rPr>
        <w:footnoteRef/>
      </w:r>
      <w:r w:rsidRPr="000B6516">
        <w:rPr>
          <w:sz w:val="16"/>
          <w:szCs w:val="16"/>
        </w:rPr>
        <w:t xml:space="preserve"> </w:t>
      </w:r>
      <w:r w:rsidRPr="000B6516">
        <w:rPr>
          <w:sz w:val="16"/>
          <w:szCs w:val="16"/>
        </w:rPr>
        <w:tab/>
      </w:r>
      <w:r w:rsidRPr="000B6516">
        <w:rPr>
          <w:sz w:val="16"/>
          <w:szCs w:val="16"/>
          <w:lang w:val="en-AU"/>
        </w:rPr>
        <w:t xml:space="preserve">Cancer Council Australia, </w:t>
      </w:r>
      <w:r w:rsidRPr="002B4DAC">
        <w:rPr>
          <w:i/>
          <w:sz w:val="16"/>
          <w:szCs w:val="16"/>
          <w:lang w:val="en-AU"/>
        </w:rPr>
        <w:t>Facts and figures cancer in Australia</w:t>
      </w:r>
      <w:r w:rsidRPr="000B6516">
        <w:rPr>
          <w:sz w:val="16"/>
          <w:szCs w:val="16"/>
          <w:lang w:val="en-AU"/>
        </w:rPr>
        <w:t>,</w:t>
      </w:r>
      <w:r>
        <w:rPr>
          <w:sz w:val="16"/>
          <w:szCs w:val="16"/>
          <w:lang w:val="en-AU"/>
        </w:rPr>
        <w:t xml:space="preserve"> viewed 2 September 2014, </w:t>
      </w:r>
      <w:hyperlink r:id="rId4" w:history="1">
        <w:r w:rsidRPr="000B6516">
          <w:rPr>
            <w:rStyle w:val="Hyperlink"/>
            <w:sz w:val="16"/>
            <w:szCs w:val="16"/>
          </w:rPr>
          <w:t>http://www.cancer.org.au/about-cancer/what-is-cancer/facts-and-figures.html</w:t>
        </w:r>
      </w:hyperlink>
      <w:r w:rsidRPr="000B6516">
        <w:rPr>
          <w:sz w:val="16"/>
          <w:szCs w:val="16"/>
          <w:lang w:val="en-AU"/>
        </w:rPr>
        <w:t>.</w:t>
      </w:r>
    </w:p>
  </w:footnote>
  <w:footnote w:id="15">
    <w:p w:rsidR="002239EF" w:rsidRDefault="002239EF" w:rsidP="00E95200">
      <w:pPr>
        <w:pStyle w:val="FootnoteText"/>
        <w:ind w:left="709" w:hanging="709"/>
        <w:rPr>
          <w:sz w:val="16"/>
          <w:szCs w:val="16"/>
          <w:lang w:val="en-AU"/>
        </w:rPr>
      </w:pPr>
      <w:r w:rsidRPr="000B6516">
        <w:rPr>
          <w:rStyle w:val="FootnoteReference"/>
          <w:sz w:val="16"/>
          <w:szCs w:val="16"/>
        </w:rPr>
        <w:footnoteRef/>
      </w:r>
      <w:r w:rsidRPr="000B6516">
        <w:rPr>
          <w:sz w:val="16"/>
          <w:szCs w:val="16"/>
        </w:rPr>
        <w:t xml:space="preserve"> </w:t>
      </w:r>
      <w:r w:rsidRPr="000B6516">
        <w:rPr>
          <w:sz w:val="16"/>
          <w:szCs w:val="16"/>
          <w:lang w:val="en-AU"/>
        </w:rPr>
        <w:tab/>
        <w:t xml:space="preserve">Access Economics, </w:t>
      </w:r>
      <w:r w:rsidRPr="000B6516">
        <w:rPr>
          <w:i/>
          <w:sz w:val="16"/>
          <w:szCs w:val="16"/>
          <w:lang w:val="en-AU"/>
        </w:rPr>
        <w:t>Cost of Cancer in NSW – A report by Access Economics Pty Limited for the Cancer Council NSW</w:t>
      </w:r>
      <w:r w:rsidRPr="000B6516">
        <w:rPr>
          <w:sz w:val="16"/>
          <w:szCs w:val="16"/>
          <w:lang w:val="en-AU"/>
        </w:rPr>
        <w:t>,</w:t>
      </w:r>
      <w:r>
        <w:rPr>
          <w:sz w:val="16"/>
          <w:szCs w:val="16"/>
          <w:lang w:val="en-AU"/>
        </w:rPr>
        <w:t> </w:t>
      </w:r>
      <w:r w:rsidRPr="000B6516">
        <w:rPr>
          <w:sz w:val="16"/>
          <w:szCs w:val="16"/>
          <w:lang w:val="en-AU"/>
        </w:rPr>
        <w:t>2007</w:t>
      </w:r>
      <w:r>
        <w:rPr>
          <w:sz w:val="16"/>
          <w:szCs w:val="16"/>
          <w:lang w:val="en-AU"/>
        </w:rPr>
        <w:t xml:space="preserve">, </w:t>
      </w:r>
      <w:r w:rsidRPr="000B6516">
        <w:rPr>
          <w:sz w:val="16"/>
          <w:szCs w:val="16"/>
          <w:lang w:val="en-AU"/>
        </w:rPr>
        <w:t>Executive Summary</w:t>
      </w:r>
      <w:r>
        <w:rPr>
          <w:sz w:val="16"/>
          <w:szCs w:val="16"/>
          <w:lang w:val="en-AU"/>
        </w:rPr>
        <w:t xml:space="preserve">, viewed 2 September 2014, </w:t>
      </w:r>
      <w:r w:rsidRPr="000B6516">
        <w:rPr>
          <w:sz w:val="16"/>
          <w:szCs w:val="16"/>
          <w:lang w:val="en-AU"/>
        </w:rPr>
        <w:t xml:space="preserve">: </w:t>
      </w:r>
      <w:hyperlink r:id="rId5" w:history="1">
        <w:r w:rsidRPr="000B6516">
          <w:rPr>
            <w:rStyle w:val="Hyperlink"/>
            <w:sz w:val="16"/>
            <w:szCs w:val="16"/>
            <w:lang w:val="en-AU"/>
          </w:rPr>
          <w:t>http://www.cancercouncil.com.au/wp-content/uploads/2010/11/costofcancer_summary.pdf</w:t>
        </w:r>
      </w:hyperlink>
      <w:r>
        <w:rPr>
          <w:rStyle w:val="Hyperlink"/>
          <w:sz w:val="16"/>
          <w:szCs w:val="16"/>
          <w:lang w:val="en-AU"/>
        </w:rPr>
        <w:t>.</w:t>
      </w:r>
    </w:p>
  </w:footnote>
  <w:footnote w:id="16">
    <w:p w:rsidR="002239EF" w:rsidRPr="00657AD8" w:rsidRDefault="002239EF" w:rsidP="007E5247">
      <w:pPr>
        <w:pStyle w:val="FootnoteText"/>
        <w:ind w:left="709" w:hanging="709"/>
        <w:rPr>
          <w:sz w:val="16"/>
          <w:szCs w:val="16"/>
          <w:lang w:val="en-AU"/>
        </w:rPr>
      </w:pPr>
      <w:r w:rsidRPr="00657AD8">
        <w:rPr>
          <w:rStyle w:val="FootnoteReference"/>
          <w:sz w:val="16"/>
          <w:szCs w:val="16"/>
        </w:rPr>
        <w:footnoteRef/>
      </w:r>
      <w:r w:rsidRPr="00657AD8">
        <w:rPr>
          <w:sz w:val="16"/>
          <w:szCs w:val="16"/>
        </w:rPr>
        <w:t xml:space="preserve"> </w:t>
      </w:r>
      <w:r w:rsidRPr="00657AD8">
        <w:rPr>
          <w:sz w:val="16"/>
          <w:szCs w:val="16"/>
        </w:rPr>
        <w:tab/>
      </w:r>
      <w:r w:rsidRPr="00385B9C">
        <w:rPr>
          <w:rFonts w:cs="Arial"/>
          <w:bCs/>
          <w:kern w:val="36"/>
          <w:sz w:val="16"/>
          <w:szCs w:val="16"/>
          <w:lang w:val="en"/>
        </w:rPr>
        <w:t xml:space="preserve">Negative externalities occur when production and/or consumption impose external costs on third parties outside of the market for which no appropriate compensation is paid. </w:t>
      </w:r>
      <w:r w:rsidRPr="00657AD8">
        <w:rPr>
          <w:sz w:val="16"/>
          <w:szCs w:val="16"/>
        </w:rPr>
        <w:t xml:space="preserve">Common negative </w:t>
      </w:r>
      <w:r w:rsidRPr="00657AD8">
        <w:rPr>
          <w:rFonts w:cs="Arial"/>
          <w:bCs/>
          <w:kern w:val="36"/>
          <w:sz w:val="16"/>
          <w:szCs w:val="16"/>
          <w:lang w:val="en"/>
        </w:rPr>
        <w:t>externalities include pollution and exposure to hazardous chemicals.</w:t>
      </w:r>
    </w:p>
  </w:footnote>
  <w:footnote w:id="17">
    <w:p w:rsidR="002239EF" w:rsidRPr="00662A22" w:rsidRDefault="002239EF" w:rsidP="001D4A60">
      <w:pPr>
        <w:pStyle w:val="FootnoteText"/>
        <w:rPr>
          <w:lang w:val="en-AU"/>
        </w:rPr>
      </w:pPr>
      <w:r w:rsidRPr="001B7101">
        <w:rPr>
          <w:rStyle w:val="FootnoteReference"/>
          <w:sz w:val="16"/>
          <w:szCs w:val="16"/>
        </w:rPr>
        <w:footnoteRef/>
      </w:r>
      <w:r w:rsidRPr="001B7101">
        <w:rPr>
          <w:rStyle w:val="FootnoteReference"/>
          <w:sz w:val="16"/>
          <w:szCs w:val="16"/>
        </w:rPr>
        <w:t xml:space="preserve"> </w:t>
      </w:r>
      <w:r>
        <w:tab/>
      </w:r>
      <w:r w:rsidRPr="00657AD8">
        <w:rPr>
          <w:rFonts w:cs="Arial"/>
          <w:bCs/>
          <w:color w:val="000000"/>
          <w:sz w:val="16"/>
          <w:szCs w:val="16"/>
          <w:lang w:eastAsia="en-AU"/>
        </w:rPr>
        <w:t xml:space="preserve">European Commission, Flash </w:t>
      </w:r>
      <w:r w:rsidRPr="00657AD8">
        <w:rPr>
          <w:rFonts w:cs="Arial"/>
          <w:bCs/>
          <w:iCs/>
          <w:color w:val="000000"/>
          <w:sz w:val="16"/>
          <w:szCs w:val="16"/>
          <w:lang w:eastAsia="en-AU"/>
        </w:rPr>
        <w:t>Eurobarometer</w:t>
      </w:r>
      <w:r>
        <w:rPr>
          <w:rFonts w:cs="Arial"/>
          <w:bCs/>
          <w:color w:val="000000"/>
          <w:sz w:val="16"/>
          <w:szCs w:val="16"/>
          <w:lang w:eastAsia="en-AU"/>
        </w:rPr>
        <w:t> </w:t>
      </w:r>
      <w:r w:rsidRPr="00657AD8">
        <w:rPr>
          <w:rFonts w:cs="Arial"/>
          <w:bCs/>
          <w:color w:val="000000"/>
          <w:sz w:val="16"/>
          <w:szCs w:val="16"/>
          <w:lang w:eastAsia="en-AU"/>
        </w:rPr>
        <w:t xml:space="preserve">361, </w:t>
      </w:r>
      <w:r w:rsidRPr="00657AD8">
        <w:rPr>
          <w:rFonts w:cs="Arial"/>
          <w:bCs/>
          <w:i/>
          <w:color w:val="000000"/>
          <w:sz w:val="16"/>
          <w:szCs w:val="16"/>
          <w:lang w:eastAsia="en-AU"/>
        </w:rPr>
        <w:t>Chemicals Report</w:t>
      </w:r>
      <w:r w:rsidRPr="00657AD8">
        <w:rPr>
          <w:rFonts w:cs="Arial"/>
          <w:bCs/>
          <w:color w:val="000000"/>
          <w:sz w:val="16"/>
          <w:szCs w:val="16"/>
          <w:lang w:eastAsia="en-AU"/>
        </w:rPr>
        <w:t>, 2013, p.</w:t>
      </w:r>
      <w:r>
        <w:rPr>
          <w:rFonts w:cs="Arial"/>
          <w:bCs/>
          <w:color w:val="000000"/>
          <w:sz w:val="16"/>
          <w:szCs w:val="16"/>
          <w:lang w:eastAsia="en-AU"/>
        </w:rPr>
        <w:t> </w:t>
      </w:r>
      <w:r w:rsidRPr="00657AD8">
        <w:rPr>
          <w:rFonts w:cs="Arial"/>
          <w:bCs/>
          <w:color w:val="000000"/>
          <w:sz w:val="16"/>
          <w:szCs w:val="16"/>
          <w:lang w:eastAsia="en-AU"/>
        </w:rPr>
        <w:t>8.</w:t>
      </w:r>
    </w:p>
  </w:footnote>
  <w:footnote w:id="18">
    <w:p w:rsidR="002239EF" w:rsidRPr="00662A22" w:rsidRDefault="002239EF" w:rsidP="001D4A60">
      <w:pPr>
        <w:pStyle w:val="FootnoteText"/>
        <w:ind w:left="709" w:hanging="709"/>
        <w:rPr>
          <w:lang w:val="en-AU"/>
        </w:rPr>
      </w:pPr>
      <w:r w:rsidRPr="001B7101">
        <w:rPr>
          <w:rStyle w:val="FootnoteReference"/>
          <w:sz w:val="16"/>
          <w:szCs w:val="16"/>
        </w:rPr>
        <w:footnoteRef/>
      </w:r>
      <w:r w:rsidRPr="001B7101">
        <w:rPr>
          <w:rStyle w:val="FootnoteReference"/>
          <w:sz w:val="16"/>
          <w:szCs w:val="16"/>
        </w:rPr>
        <w:t xml:space="preserve"> </w:t>
      </w:r>
      <w:r>
        <w:rPr>
          <w:lang w:val="en-AU"/>
        </w:rPr>
        <w:tab/>
      </w:r>
      <w:r w:rsidRPr="00657AD8">
        <w:rPr>
          <w:rFonts w:cs="Arial"/>
          <w:sz w:val="16"/>
          <w:szCs w:val="16"/>
          <w:lang w:val="en-AU"/>
        </w:rPr>
        <w:t>United Nations Environment Program DTIE / Chemicals Branch, The Chemicals in Products Project: Case Study of the Textiles Sector, 2001, p.</w:t>
      </w:r>
      <w:r>
        <w:rPr>
          <w:rFonts w:cs="Arial"/>
          <w:sz w:val="16"/>
          <w:szCs w:val="16"/>
          <w:lang w:val="en-AU"/>
        </w:rPr>
        <w:t> </w:t>
      </w:r>
      <w:r w:rsidRPr="00657AD8">
        <w:rPr>
          <w:rFonts w:cs="Arial"/>
          <w:sz w:val="16"/>
          <w:szCs w:val="16"/>
          <w:lang w:val="en-AU"/>
        </w:rPr>
        <w:t>v.</w:t>
      </w:r>
    </w:p>
  </w:footnote>
  <w:footnote w:id="19">
    <w:p w:rsidR="002239EF" w:rsidRPr="00657AD8" w:rsidRDefault="002239EF" w:rsidP="00E95200">
      <w:pPr>
        <w:pStyle w:val="FootnoteText"/>
        <w:ind w:left="709" w:hanging="709"/>
        <w:rPr>
          <w:rFonts w:cs="Arial"/>
          <w:sz w:val="16"/>
          <w:szCs w:val="16"/>
          <w:lang w:val="en-AU"/>
        </w:rPr>
      </w:pPr>
      <w:r w:rsidRPr="00657AD8">
        <w:rPr>
          <w:rStyle w:val="FootnoteReference"/>
          <w:rFonts w:cs="Arial"/>
          <w:sz w:val="16"/>
          <w:szCs w:val="16"/>
        </w:rPr>
        <w:footnoteRef/>
      </w:r>
      <w:r w:rsidRPr="00657AD8">
        <w:rPr>
          <w:rFonts w:cs="Arial"/>
          <w:sz w:val="16"/>
          <w:szCs w:val="16"/>
        </w:rPr>
        <w:t xml:space="preserve"> </w:t>
      </w:r>
      <w:r w:rsidRPr="00657AD8">
        <w:rPr>
          <w:rFonts w:cs="Arial"/>
          <w:sz w:val="16"/>
          <w:szCs w:val="16"/>
          <w:lang w:val="en-AU"/>
        </w:rPr>
        <w:tab/>
        <w:t xml:space="preserve">Productivity Commission, </w:t>
      </w:r>
      <w:r w:rsidRPr="00657AD8">
        <w:rPr>
          <w:rFonts w:cs="Arial"/>
          <w:i/>
          <w:sz w:val="16"/>
          <w:szCs w:val="16"/>
          <w:lang w:val="en-AU"/>
        </w:rPr>
        <w:t>Chemicals and Plastics Regulation, Productivity Commission Inquiry Report, Overview,</w:t>
      </w:r>
      <w:r w:rsidRPr="00657AD8">
        <w:rPr>
          <w:rFonts w:cs="Arial"/>
          <w:sz w:val="16"/>
          <w:szCs w:val="16"/>
          <w:lang w:val="en-AU"/>
        </w:rPr>
        <w:t xml:space="preserve"> July</w:t>
      </w:r>
      <w:r>
        <w:rPr>
          <w:rFonts w:cs="Arial"/>
          <w:sz w:val="16"/>
          <w:szCs w:val="16"/>
          <w:lang w:val="en-AU"/>
        </w:rPr>
        <w:t> </w:t>
      </w:r>
      <w:r w:rsidRPr="00657AD8">
        <w:rPr>
          <w:rFonts w:cs="Arial"/>
          <w:sz w:val="16"/>
          <w:szCs w:val="16"/>
          <w:lang w:val="en-AU"/>
        </w:rPr>
        <w:t>2008, p.</w:t>
      </w:r>
      <w:r>
        <w:rPr>
          <w:rFonts w:cs="Arial"/>
          <w:sz w:val="16"/>
          <w:szCs w:val="16"/>
          <w:lang w:val="en-AU"/>
        </w:rPr>
        <w:t> </w:t>
      </w:r>
      <w:r w:rsidRPr="00657AD8">
        <w:rPr>
          <w:rFonts w:cs="Arial"/>
          <w:sz w:val="16"/>
          <w:szCs w:val="16"/>
          <w:lang w:val="en-AU"/>
        </w:rPr>
        <w:t>xxvi.</w:t>
      </w:r>
    </w:p>
  </w:footnote>
  <w:footnote w:id="20">
    <w:p w:rsidR="002239EF" w:rsidRPr="00657AD8" w:rsidRDefault="002239EF" w:rsidP="00E95200">
      <w:pPr>
        <w:pStyle w:val="FootnoteText"/>
        <w:ind w:left="709" w:hanging="709"/>
        <w:rPr>
          <w:rFonts w:cs="Arial"/>
          <w:sz w:val="16"/>
          <w:szCs w:val="16"/>
          <w:lang w:val="en-AU"/>
        </w:rPr>
      </w:pPr>
      <w:r w:rsidRPr="00657AD8">
        <w:rPr>
          <w:rStyle w:val="FootnoteReference"/>
          <w:rFonts w:cs="Arial"/>
          <w:sz w:val="16"/>
          <w:szCs w:val="16"/>
        </w:rPr>
        <w:footnoteRef/>
      </w:r>
      <w:r w:rsidRPr="00657AD8">
        <w:rPr>
          <w:rFonts w:cs="Arial"/>
          <w:sz w:val="16"/>
          <w:szCs w:val="16"/>
        </w:rPr>
        <w:t xml:space="preserve"> </w:t>
      </w:r>
      <w:r w:rsidRPr="00657AD8">
        <w:rPr>
          <w:rFonts w:cs="Arial"/>
          <w:sz w:val="16"/>
          <w:szCs w:val="16"/>
          <w:lang w:val="en-AU"/>
        </w:rPr>
        <w:tab/>
      </w:r>
      <w:r>
        <w:rPr>
          <w:rFonts w:cs="Arial"/>
          <w:sz w:val="16"/>
          <w:szCs w:val="16"/>
          <w:lang w:val="en-AU"/>
        </w:rPr>
        <w:t>ibid., p. </w:t>
      </w:r>
      <w:r w:rsidRPr="00657AD8">
        <w:rPr>
          <w:rFonts w:cs="Arial"/>
          <w:sz w:val="16"/>
          <w:szCs w:val="16"/>
          <w:lang w:val="en-AU"/>
        </w:rPr>
        <w:t>xxv.</w:t>
      </w:r>
    </w:p>
  </w:footnote>
  <w:footnote w:id="21">
    <w:p w:rsidR="002239EF" w:rsidRPr="00682995" w:rsidRDefault="002239EF" w:rsidP="00B11D05">
      <w:pPr>
        <w:pStyle w:val="ListParagraph"/>
        <w:ind w:left="709" w:hanging="709"/>
        <w:contextualSpacing w:val="0"/>
        <w:rPr>
          <w:color w:val="1F497D"/>
          <w:sz w:val="16"/>
          <w:szCs w:val="16"/>
        </w:rPr>
      </w:pPr>
      <w:r w:rsidRPr="00682995">
        <w:rPr>
          <w:rStyle w:val="FootnoteReference"/>
          <w:color w:val="000000"/>
          <w:sz w:val="16"/>
          <w:szCs w:val="16"/>
        </w:rPr>
        <w:footnoteRef/>
      </w:r>
      <w:r w:rsidRPr="00682995">
        <w:rPr>
          <w:color w:val="000000"/>
          <w:sz w:val="16"/>
          <w:szCs w:val="16"/>
        </w:rPr>
        <w:t xml:space="preserve"> </w:t>
      </w:r>
      <w:r w:rsidRPr="00682995">
        <w:rPr>
          <w:color w:val="000000"/>
          <w:sz w:val="16"/>
          <w:szCs w:val="16"/>
        </w:rPr>
        <w:tab/>
      </w:r>
      <w:r w:rsidRPr="00682995">
        <w:rPr>
          <w:i/>
          <w:color w:val="000000"/>
          <w:sz w:val="16"/>
          <w:szCs w:val="16"/>
        </w:rPr>
        <w:t>How to manage and mitigate offshore risks</w:t>
      </w:r>
      <w:r w:rsidRPr="00682995">
        <w:rPr>
          <w:color w:val="000000"/>
          <w:sz w:val="16"/>
          <w:szCs w:val="16"/>
        </w:rPr>
        <w:t xml:space="preserve">, available: </w:t>
      </w:r>
      <w:hyperlink r:id="rId6" w:history="1">
        <w:r w:rsidRPr="00682995">
          <w:rPr>
            <w:rStyle w:val="Hyperlink"/>
            <w:sz w:val="16"/>
            <w:szCs w:val="16"/>
          </w:rPr>
          <w:t>http://outsourcing-center.com/2009-06-how-to-manage-and-mitigate-offshore-risks-article-37409.html</w:t>
        </w:r>
      </w:hyperlink>
      <w:r w:rsidRPr="00682995">
        <w:rPr>
          <w:rStyle w:val="Hyperlink"/>
          <w:sz w:val="16"/>
          <w:szCs w:val="16"/>
        </w:rPr>
        <w:t>.</w:t>
      </w:r>
    </w:p>
  </w:footnote>
  <w:footnote w:id="22">
    <w:p w:rsidR="002239EF" w:rsidRPr="00682995" w:rsidRDefault="002239EF" w:rsidP="0007515F">
      <w:pPr>
        <w:pStyle w:val="ListParagraph"/>
        <w:ind w:left="709" w:hanging="709"/>
        <w:contextualSpacing w:val="0"/>
        <w:rPr>
          <w:sz w:val="16"/>
          <w:szCs w:val="16"/>
        </w:rPr>
      </w:pPr>
      <w:r w:rsidRPr="00682995">
        <w:rPr>
          <w:rStyle w:val="FootnoteReference"/>
          <w:sz w:val="16"/>
          <w:szCs w:val="16"/>
        </w:rPr>
        <w:footnoteRef/>
      </w:r>
      <w:r w:rsidRPr="00682995">
        <w:rPr>
          <w:sz w:val="16"/>
          <w:szCs w:val="16"/>
        </w:rPr>
        <w:t xml:space="preserve"> </w:t>
      </w:r>
      <w:r w:rsidRPr="00682995">
        <w:rPr>
          <w:sz w:val="16"/>
          <w:szCs w:val="16"/>
        </w:rPr>
        <w:tab/>
      </w:r>
      <w:r w:rsidRPr="00682995">
        <w:rPr>
          <w:color w:val="000000"/>
          <w:sz w:val="16"/>
          <w:szCs w:val="16"/>
        </w:rPr>
        <w:t xml:space="preserve">The Economist, </w:t>
      </w:r>
      <w:r w:rsidRPr="00682995">
        <w:rPr>
          <w:i/>
          <w:color w:val="000000"/>
          <w:sz w:val="16"/>
          <w:szCs w:val="16"/>
        </w:rPr>
        <w:t>Reshoring manufacturing, Coming Home</w:t>
      </w:r>
      <w:r w:rsidRPr="00682995">
        <w:rPr>
          <w:color w:val="000000"/>
          <w:sz w:val="16"/>
          <w:szCs w:val="16"/>
        </w:rPr>
        <w:t>, 19</w:t>
      </w:r>
      <w:r>
        <w:rPr>
          <w:color w:val="000000"/>
          <w:sz w:val="16"/>
          <w:szCs w:val="16"/>
        </w:rPr>
        <w:t> </w:t>
      </w:r>
      <w:r w:rsidRPr="00682995">
        <w:rPr>
          <w:color w:val="000000"/>
          <w:sz w:val="16"/>
          <w:szCs w:val="16"/>
        </w:rPr>
        <w:t>January</w:t>
      </w:r>
      <w:r>
        <w:rPr>
          <w:color w:val="000000"/>
          <w:sz w:val="16"/>
          <w:szCs w:val="16"/>
        </w:rPr>
        <w:t> </w:t>
      </w:r>
      <w:r w:rsidRPr="00682995">
        <w:rPr>
          <w:color w:val="000000"/>
          <w:sz w:val="16"/>
          <w:szCs w:val="16"/>
        </w:rPr>
        <w:t>2013</w:t>
      </w:r>
      <w:r>
        <w:rPr>
          <w:color w:val="000000"/>
          <w:sz w:val="16"/>
          <w:szCs w:val="16"/>
        </w:rPr>
        <w:t xml:space="preserve">, viewed 15 September 2014, </w:t>
      </w:r>
      <w:hyperlink r:id="rId7" w:history="1">
        <w:r w:rsidRPr="00682995">
          <w:rPr>
            <w:rStyle w:val="Hyperlink"/>
            <w:sz w:val="16"/>
            <w:szCs w:val="16"/>
          </w:rPr>
          <w:t>http://www.economist.com/node/21569570/print</w:t>
        </w:r>
      </w:hyperlink>
      <w:r w:rsidRPr="00682995">
        <w:rPr>
          <w:rStyle w:val="Hyperlink"/>
          <w:sz w:val="16"/>
          <w:szCs w:val="16"/>
        </w:rPr>
        <w:t>.</w:t>
      </w:r>
    </w:p>
  </w:footnote>
  <w:footnote w:id="23">
    <w:p w:rsidR="002239EF" w:rsidRPr="00870BC6" w:rsidRDefault="002239EF" w:rsidP="00870BC6">
      <w:pPr>
        <w:pStyle w:val="FootnoteText"/>
        <w:ind w:left="709" w:hanging="709"/>
        <w:rPr>
          <w:sz w:val="16"/>
          <w:szCs w:val="16"/>
          <w:lang w:val="en-AU"/>
        </w:rPr>
      </w:pPr>
      <w:r w:rsidRPr="008B0121">
        <w:rPr>
          <w:rStyle w:val="FootnoteReference"/>
          <w:sz w:val="16"/>
          <w:szCs w:val="16"/>
        </w:rPr>
        <w:footnoteRef/>
      </w:r>
      <w:r>
        <w:t xml:space="preserve"> </w:t>
      </w:r>
      <w:r>
        <w:rPr>
          <w:lang w:val="en-AU"/>
        </w:rPr>
        <w:tab/>
      </w:r>
      <w:r w:rsidRPr="00870BC6">
        <w:rPr>
          <w:sz w:val="16"/>
          <w:szCs w:val="16"/>
          <w:lang w:val="en-AU"/>
        </w:rPr>
        <w:t xml:space="preserve">K. Chubb, Going Abroad? Don’t Forget Supply Chain Safety Risks, 8 July 2014, Viewed 10 October 2014. Available: </w:t>
      </w:r>
      <w:hyperlink r:id="rId8" w:history="1">
        <w:r w:rsidRPr="00870BC6">
          <w:rPr>
            <w:rStyle w:val="Hyperlink"/>
            <w:sz w:val="16"/>
            <w:szCs w:val="16"/>
            <w:lang w:val="en-AU"/>
          </w:rPr>
          <w:t>http://www.industryweek.com/transportation/going-abroad-dont-forget-supply-chain-safety-risks</w:t>
        </w:r>
      </w:hyperlink>
      <w:r w:rsidRPr="00870BC6">
        <w:rPr>
          <w:sz w:val="16"/>
          <w:szCs w:val="16"/>
          <w:lang w:val="en-AU"/>
        </w:rPr>
        <w:t>.</w:t>
      </w:r>
    </w:p>
  </w:footnote>
  <w:footnote w:id="24">
    <w:p w:rsidR="002239EF" w:rsidRPr="00B85022" w:rsidRDefault="002239EF" w:rsidP="00254B15">
      <w:pPr>
        <w:pStyle w:val="FootnoteText"/>
        <w:ind w:left="709" w:hanging="709"/>
        <w:rPr>
          <w:rFonts w:cs="Arial"/>
          <w:sz w:val="16"/>
          <w:szCs w:val="16"/>
          <w:lang w:val="en-AU"/>
        </w:rPr>
      </w:pPr>
      <w:r w:rsidRPr="00715F4D">
        <w:rPr>
          <w:rStyle w:val="FootnoteReference"/>
          <w:rFonts w:cs="Arial"/>
          <w:sz w:val="16"/>
          <w:szCs w:val="16"/>
        </w:rPr>
        <w:footnoteRef/>
      </w:r>
      <w:r w:rsidRPr="00715F4D">
        <w:rPr>
          <w:rStyle w:val="FootnoteReference"/>
          <w:rFonts w:cs="Arial"/>
          <w:sz w:val="16"/>
          <w:szCs w:val="16"/>
        </w:rPr>
        <w:t xml:space="preserve"> </w:t>
      </w:r>
      <w:r>
        <w:rPr>
          <w:lang w:val="en-AU"/>
        </w:rPr>
        <w:tab/>
      </w:r>
      <w:r w:rsidRPr="00B85022">
        <w:rPr>
          <w:rFonts w:cs="Arial"/>
          <w:sz w:val="16"/>
          <w:szCs w:val="16"/>
          <w:lang w:val="en-AU"/>
        </w:rPr>
        <w:t xml:space="preserve">Department of Industry, </w:t>
      </w:r>
      <w:r w:rsidRPr="00B85022">
        <w:rPr>
          <w:rFonts w:cs="Arial"/>
          <w:i/>
          <w:sz w:val="16"/>
          <w:szCs w:val="16"/>
          <w:lang w:val="en-AU"/>
        </w:rPr>
        <w:t>Textiles Clothing and Footwear (TCF) Industry Capability Map: Textiles</w:t>
      </w:r>
      <w:r>
        <w:rPr>
          <w:rFonts w:cs="Arial"/>
          <w:sz w:val="16"/>
          <w:szCs w:val="16"/>
          <w:lang w:val="en-AU"/>
        </w:rPr>
        <w:t xml:space="preserve">, </w:t>
      </w:r>
      <w:r w:rsidRPr="00B85022">
        <w:rPr>
          <w:rFonts w:cs="Arial"/>
          <w:sz w:val="16"/>
          <w:szCs w:val="16"/>
          <w:lang w:val="en-AU"/>
        </w:rPr>
        <w:t>2013</w:t>
      </w:r>
      <w:r>
        <w:rPr>
          <w:rFonts w:cs="Arial"/>
          <w:sz w:val="16"/>
          <w:szCs w:val="16"/>
          <w:lang w:val="en-AU"/>
        </w:rPr>
        <w:t xml:space="preserve">, and Productivity Commission, , </w:t>
      </w:r>
      <w:r w:rsidRPr="00B85022">
        <w:rPr>
          <w:rFonts w:cs="Arial"/>
          <w:i/>
          <w:sz w:val="16"/>
          <w:szCs w:val="16"/>
          <w:lang w:val="en-AU"/>
        </w:rPr>
        <w:t>Trends in Australian Manufacturing</w:t>
      </w:r>
      <w:r>
        <w:rPr>
          <w:rFonts w:cs="Arial"/>
          <w:sz w:val="16"/>
          <w:szCs w:val="16"/>
          <w:lang w:val="en-AU"/>
        </w:rPr>
        <w:t xml:space="preserve"> Commission Research Paper, AusInfo, Canberra, p. 52, 2003, viewed 14 August 2014, </w:t>
      </w:r>
      <w:hyperlink r:id="rId9" w:history="1">
        <w:r w:rsidRPr="00486C3D">
          <w:rPr>
            <w:rStyle w:val="Hyperlink"/>
            <w:rFonts w:cs="Arial"/>
            <w:sz w:val="16"/>
            <w:szCs w:val="16"/>
            <w:lang w:val="en-AU"/>
          </w:rPr>
          <w:t>http://www.pc.gov.au/__data/assets/pdf_file/0005/8447/tiam.pdf</w:t>
        </w:r>
      </w:hyperlink>
      <w:r>
        <w:rPr>
          <w:rStyle w:val="Hyperlink"/>
          <w:rFonts w:cs="Arial"/>
          <w:sz w:val="16"/>
          <w:szCs w:val="16"/>
          <w:lang w:val="en-AU"/>
        </w:rPr>
        <w:t>.</w:t>
      </w:r>
    </w:p>
  </w:footnote>
  <w:footnote w:id="25">
    <w:p w:rsidR="002239EF" w:rsidRPr="00B7209D" w:rsidRDefault="002239EF">
      <w:pPr>
        <w:pStyle w:val="FootnoteText"/>
        <w:rPr>
          <w:lang w:val="en-AU"/>
        </w:rPr>
      </w:pPr>
      <w:r w:rsidRPr="00B7209D">
        <w:rPr>
          <w:rStyle w:val="FootnoteReference"/>
          <w:sz w:val="16"/>
          <w:szCs w:val="16"/>
        </w:rPr>
        <w:footnoteRef/>
      </w:r>
      <w:r w:rsidRPr="00B7209D">
        <w:rPr>
          <w:sz w:val="16"/>
          <w:szCs w:val="16"/>
        </w:rPr>
        <w:t xml:space="preserve"> </w:t>
      </w:r>
      <w:r>
        <w:rPr>
          <w:lang w:val="en-AU"/>
        </w:rPr>
        <w:tab/>
      </w:r>
      <w:r w:rsidRPr="00B85022">
        <w:rPr>
          <w:rFonts w:cs="Arial"/>
          <w:sz w:val="16"/>
          <w:szCs w:val="16"/>
          <w:lang w:val="en-AU"/>
        </w:rPr>
        <w:t xml:space="preserve">Department of Industry, </w:t>
      </w:r>
      <w:r w:rsidRPr="00B85022">
        <w:rPr>
          <w:rFonts w:cs="Arial"/>
          <w:i/>
          <w:sz w:val="16"/>
          <w:szCs w:val="16"/>
          <w:lang w:val="en-AU"/>
        </w:rPr>
        <w:t>Textiles Clothing and Footwear (TCF) Industry Capability Map: Textiles</w:t>
      </w:r>
      <w:r>
        <w:rPr>
          <w:rFonts w:cs="Arial"/>
          <w:i/>
          <w:sz w:val="16"/>
          <w:szCs w:val="16"/>
          <w:lang w:val="en-AU"/>
        </w:rPr>
        <w:t xml:space="preserve"> </w:t>
      </w:r>
      <w:r w:rsidRPr="00B85022">
        <w:rPr>
          <w:rFonts w:cs="Arial"/>
          <w:sz w:val="16"/>
          <w:szCs w:val="16"/>
          <w:lang w:val="en-AU"/>
        </w:rPr>
        <w:t>2013</w:t>
      </w:r>
      <w:r>
        <w:rPr>
          <w:rFonts w:cs="Arial"/>
          <w:sz w:val="16"/>
          <w:szCs w:val="16"/>
          <w:lang w:val="en-AU"/>
        </w:rPr>
        <w:t>.</w:t>
      </w:r>
    </w:p>
  </w:footnote>
  <w:footnote w:id="26">
    <w:p w:rsidR="002239EF" w:rsidRPr="00B85022" w:rsidRDefault="002239EF" w:rsidP="00254B15">
      <w:pPr>
        <w:pStyle w:val="FootnoteText"/>
        <w:rPr>
          <w:lang w:val="en-AU"/>
        </w:rPr>
      </w:pPr>
      <w:r w:rsidRPr="00715F4D">
        <w:rPr>
          <w:rStyle w:val="FootnoteReference"/>
          <w:rFonts w:cs="Arial"/>
          <w:sz w:val="16"/>
          <w:szCs w:val="16"/>
        </w:rPr>
        <w:footnoteRef/>
      </w:r>
      <w:r w:rsidRPr="00715F4D">
        <w:rPr>
          <w:rStyle w:val="FootnoteReference"/>
          <w:rFonts w:cs="Arial"/>
          <w:sz w:val="16"/>
          <w:szCs w:val="16"/>
        </w:rPr>
        <w:t xml:space="preserve"> </w:t>
      </w:r>
      <w:r>
        <w:tab/>
      </w:r>
      <w:r>
        <w:rPr>
          <w:rFonts w:cs="Arial"/>
          <w:sz w:val="16"/>
          <w:szCs w:val="16"/>
          <w:lang w:val="en-AU"/>
        </w:rPr>
        <w:t>ibid</w:t>
      </w:r>
      <w:r>
        <w:rPr>
          <w:rFonts w:cs="Arial"/>
          <w:i/>
          <w:sz w:val="16"/>
          <w:szCs w:val="16"/>
          <w:lang w:val="en-AU"/>
        </w:rPr>
        <w:t>.</w:t>
      </w:r>
    </w:p>
  </w:footnote>
  <w:footnote w:id="27">
    <w:p w:rsidR="002239EF" w:rsidRPr="00B7209D" w:rsidRDefault="002239EF" w:rsidP="00B7209D">
      <w:pPr>
        <w:pStyle w:val="FootnoteText"/>
        <w:ind w:left="709" w:hanging="709"/>
        <w:rPr>
          <w:lang w:val="en-AU"/>
        </w:rPr>
      </w:pPr>
      <w:r w:rsidRPr="00B7209D">
        <w:rPr>
          <w:rStyle w:val="FootnoteReference"/>
          <w:rFonts w:cs="Arial"/>
          <w:sz w:val="16"/>
          <w:szCs w:val="16"/>
        </w:rPr>
        <w:footnoteRef/>
      </w:r>
      <w:r>
        <w:t xml:space="preserve"> </w:t>
      </w:r>
      <w:r>
        <w:rPr>
          <w:lang w:val="en-AU"/>
        </w:rPr>
        <w:tab/>
      </w:r>
      <w:r w:rsidRPr="00B7209D">
        <w:rPr>
          <w:rFonts w:cs="Arial"/>
          <w:sz w:val="16"/>
          <w:szCs w:val="16"/>
          <w:lang w:val="en-AU"/>
        </w:rPr>
        <w:t>RAPEX is the EU</w:t>
      </w:r>
      <w:r>
        <w:rPr>
          <w:rFonts w:cs="Arial"/>
          <w:sz w:val="16"/>
          <w:szCs w:val="16"/>
          <w:lang w:val="en-AU"/>
        </w:rPr>
        <w:t>’s</w:t>
      </w:r>
      <w:r w:rsidRPr="00B7209D">
        <w:rPr>
          <w:rFonts w:cs="Arial"/>
          <w:sz w:val="16"/>
          <w:szCs w:val="16"/>
          <w:lang w:val="en-AU"/>
        </w:rPr>
        <w:t xml:space="preserve"> rapid alert system that facilitates the rapid exchange of information between </w:t>
      </w:r>
      <w:r>
        <w:rPr>
          <w:rFonts w:cs="Arial"/>
          <w:sz w:val="16"/>
          <w:szCs w:val="16"/>
          <w:lang w:val="en-AU"/>
        </w:rPr>
        <w:t>m</w:t>
      </w:r>
      <w:r w:rsidRPr="00B7209D">
        <w:rPr>
          <w:rFonts w:cs="Arial"/>
          <w:sz w:val="16"/>
          <w:szCs w:val="16"/>
          <w:lang w:val="en-AU"/>
        </w:rPr>
        <w:t xml:space="preserve">ember </w:t>
      </w:r>
      <w:r>
        <w:rPr>
          <w:rFonts w:cs="Arial"/>
          <w:sz w:val="16"/>
          <w:szCs w:val="16"/>
          <w:lang w:val="en-AU"/>
        </w:rPr>
        <w:t>s</w:t>
      </w:r>
      <w:r w:rsidRPr="00B7209D">
        <w:rPr>
          <w:rFonts w:cs="Arial"/>
          <w:sz w:val="16"/>
          <w:szCs w:val="16"/>
          <w:lang w:val="en-AU"/>
        </w:rPr>
        <w:t xml:space="preserve">tates and the </w:t>
      </w:r>
      <w:r>
        <w:rPr>
          <w:rFonts w:cs="Arial"/>
          <w:sz w:val="16"/>
          <w:szCs w:val="16"/>
          <w:lang w:val="en-AU"/>
        </w:rPr>
        <w:t xml:space="preserve">European </w:t>
      </w:r>
      <w:r w:rsidRPr="00B7209D">
        <w:rPr>
          <w:rFonts w:cs="Arial"/>
          <w:sz w:val="16"/>
          <w:szCs w:val="16"/>
          <w:lang w:val="en-AU"/>
        </w:rPr>
        <w:t>Commission</w:t>
      </w:r>
      <w:r>
        <w:rPr>
          <w:rFonts w:cs="Arial"/>
          <w:sz w:val="16"/>
          <w:szCs w:val="16"/>
          <w:lang w:val="en-AU"/>
        </w:rPr>
        <w:t>.</w:t>
      </w:r>
    </w:p>
  </w:footnote>
  <w:footnote w:id="28">
    <w:p w:rsidR="002239EF" w:rsidRDefault="002239EF" w:rsidP="004477B2">
      <w:pPr>
        <w:pStyle w:val="FootnoteText"/>
        <w:rPr>
          <w:sz w:val="16"/>
          <w:szCs w:val="16"/>
          <w:lang w:val="en-AU"/>
        </w:rPr>
      </w:pPr>
      <w:r w:rsidRPr="00D330EE">
        <w:rPr>
          <w:rStyle w:val="FootnoteReference"/>
          <w:rFonts w:cs="Arial"/>
          <w:sz w:val="16"/>
          <w:szCs w:val="16"/>
        </w:rPr>
        <w:footnoteRef/>
      </w:r>
      <w:r w:rsidRPr="00D330EE">
        <w:rPr>
          <w:rStyle w:val="FootnoteReference"/>
          <w:rFonts w:cs="Arial"/>
          <w:sz w:val="16"/>
          <w:szCs w:val="16"/>
        </w:rPr>
        <w:t xml:space="preserve"> </w:t>
      </w:r>
      <w:r>
        <w:rPr>
          <w:lang w:val="en-AU"/>
        </w:rPr>
        <w:tab/>
      </w:r>
      <w:r>
        <w:rPr>
          <w:sz w:val="16"/>
          <w:szCs w:val="16"/>
          <w:lang w:val="en-AU"/>
        </w:rPr>
        <w:t>M Bennett-Smith, ‘</w:t>
      </w:r>
      <w:r w:rsidRPr="00FC7E16">
        <w:rPr>
          <w:sz w:val="16"/>
          <w:szCs w:val="16"/>
          <w:lang w:val="en-AU"/>
        </w:rPr>
        <w:t>Chinese School Uniform Ban: Cancer-Causing Dyes Possibly In Students' Clothes</w:t>
      </w:r>
      <w:r>
        <w:rPr>
          <w:sz w:val="16"/>
          <w:szCs w:val="16"/>
          <w:lang w:val="en-AU"/>
        </w:rPr>
        <w:t xml:space="preserve">’, (2013), </w:t>
      </w:r>
    </w:p>
    <w:p w:rsidR="002239EF" w:rsidRPr="00B85022" w:rsidRDefault="002239EF" w:rsidP="00B7209D">
      <w:pPr>
        <w:pStyle w:val="FootnoteText"/>
        <w:ind w:left="720"/>
        <w:rPr>
          <w:sz w:val="16"/>
          <w:szCs w:val="16"/>
          <w:lang w:val="en-AU"/>
        </w:rPr>
      </w:pPr>
      <w:r>
        <w:rPr>
          <w:sz w:val="16"/>
          <w:szCs w:val="16"/>
          <w:lang w:val="en-AU"/>
        </w:rPr>
        <w:t xml:space="preserve">viewed 2 September 2014, </w:t>
      </w:r>
      <w:hyperlink r:id="rId10" w:history="1">
        <w:r w:rsidRPr="004477B2">
          <w:rPr>
            <w:rStyle w:val="Hyperlink"/>
            <w:sz w:val="16"/>
            <w:szCs w:val="16"/>
            <w:lang w:val="en-AU"/>
          </w:rPr>
          <w:t>http://www.huffingtonpost.com/2013/02/20/chinese-uniforms-dyes-cancer_n_2720399.html</w:t>
        </w:r>
      </w:hyperlink>
      <w:r>
        <w:rPr>
          <w:rStyle w:val="Hyperlink"/>
          <w:sz w:val="16"/>
          <w:szCs w:val="16"/>
          <w:lang w:val="en-AU"/>
        </w:rPr>
        <w:t>.</w:t>
      </w:r>
    </w:p>
  </w:footnote>
  <w:footnote w:id="29">
    <w:p w:rsidR="002239EF" w:rsidRPr="0018472C" w:rsidRDefault="002239EF" w:rsidP="006A0321">
      <w:pPr>
        <w:pStyle w:val="FootnoteText"/>
        <w:ind w:left="709" w:hanging="709"/>
        <w:rPr>
          <w:rFonts w:cs="Arial"/>
          <w:sz w:val="16"/>
          <w:szCs w:val="16"/>
          <w:lang w:val="en-AU"/>
        </w:rPr>
      </w:pPr>
      <w:r w:rsidRPr="0018472C">
        <w:rPr>
          <w:rStyle w:val="FootnoteReference"/>
          <w:rFonts w:cs="Arial"/>
          <w:sz w:val="16"/>
          <w:szCs w:val="16"/>
        </w:rPr>
        <w:footnoteRef/>
      </w:r>
      <w:r w:rsidRPr="0018472C">
        <w:rPr>
          <w:rFonts w:cs="Arial"/>
          <w:sz w:val="16"/>
          <w:szCs w:val="16"/>
        </w:rPr>
        <w:t xml:space="preserve"> </w:t>
      </w:r>
      <w:r w:rsidRPr="0018472C">
        <w:rPr>
          <w:rFonts w:cs="Arial"/>
          <w:sz w:val="16"/>
          <w:szCs w:val="16"/>
          <w:lang w:val="en-AU"/>
        </w:rPr>
        <w:tab/>
      </w:r>
      <w:r w:rsidRPr="0046121C">
        <w:rPr>
          <w:rFonts w:cs="Arial"/>
          <w:bCs/>
          <w:i/>
          <w:kern w:val="36"/>
          <w:sz w:val="16"/>
          <w:szCs w:val="16"/>
          <w:lang w:val="en"/>
        </w:rPr>
        <w:t>Draft Screening Assessment Aromatic Azo and Benzidine-based Substance Grouping Certain Azo Solvent Dyes</w:t>
      </w:r>
      <w:r w:rsidRPr="0046121C">
        <w:rPr>
          <w:rFonts w:cs="Arial"/>
          <w:bCs/>
          <w:kern w:val="36"/>
          <w:sz w:val="16"/>
          <w:szCs w:val="16"/>
          <w:lang w:val="en"/>
        </w:rPr>
        <w:t>, Environment Canada/Health Canada, November 2013</w:t>
      </w:r>
      <w:r>
        <w:rPr>
          <w:rFonts w:cs="Arial"/>
          <w:bCs/>
          <w:kern w:val="36"/>
          <w:sz w:val="16"/>
          <w:szCs w:val="16"/>
          <w:lang w:val="en"/>
        </w:rPr>
        <w:t>, viewed 1 September 2014,</w:t>
      </w:r>
      <w:r w:rsidRPr="0046121C">
        <w:rPr>
          <w:rFonts w:cs="Arial"/>
          <w:bCs/>
          <w:kern w:val="36"/>
          <w:sz w:val="16"/>
          <w:szCs w:val="16"/>
          <w:lang w:val="en"/>
        </w:rPr>
        <w:t xml:space="preserve"> </w:t>
      </w:r>
      <w:hyperlink r:id="rId11" w:anchor="toc31" w:history="1">
        <w:r w:rsidRPr="0046121C">
          <w:rPr>
            <w:rStyle w:val="Hyperlink"/>
            <w:rFonts w:cs="Arial"/>
            <w:bCs/>
            <w:kern w:val="36"/>
            <w:sz w:val="16"/>
            <w:szCs w:val="16"/>
            <w:lang w:val="en"/>
          </w:rPr>
          <w:t>http://www.ec.gc.ca/ese-ees/default.asp?lang=En&amp;n=AB88B1AB-1#toc31</w:t>
        </w:r>
      </w:hyperlink>
      <w:r w:rsidRPr="0046121C">
        <w:rPr>
          <w:rFonts w:cs="Arial"/>
          <w:bCs/>
          <w:kern w:val="36"/>
          <w:sz w:val="16"/>
          <w:szCs w:val="16"/>
          <w:lang w:val="en"/>
        </w:rPr>
        <w:t>.</w:t>
      </w:r>
    </w:p>
  </w:footnote>
  <w:footnote w:id="30">
    <w:p w:rsidR="002239EF" w:rsidRPr="00B7209D" w:rsidRDefault="002239EF">
      <w:pPr>
        <w:pStyle w:val="FootnoteText"/>
        <w:rPr>
          <w:lang w:val="en-AU"/>
        </w:rPr>
      </w:pPr>
      <w:r w:rsidRPr="00B7209D">
        <w:rPr>
          <w:rStyle w:val="FootnoteReference"/>
          <w:rFonts w:cs="Arial"/>
          <w:sz w:val="16"/>
          <w:szCs w:val="16"/>
        </w:rPr>
        <w:footnoteRef/>
      </w:r>
      <w:r w:rsidRPr="00B7209D">
        <w:rPr>
          <w:rStyle w:val="FootnoteReference"/>
          <w:rFonts w:cs="Arial"/>
          <w:sz w:val="16"/>
          <w:szCs w:val="16"/>
        </w:rPr>
        <w:t xml:space="preserve"> </w:t>
      </w:r>
      <w:r>
        <w:rPr>
          <w:lang w:val="en-AU"/>
        </w:rPr>
        <w:tab/>
      </w:r>
      <w:r w:rsidRPr="00B7209D">
        <w:rPr>
          <w:rFonts w:cs="Arial"/>
          <w:sz w:val="16"/>
          <w:szCs w:val="16"/>
          <w:lang w:val="en-AU"/>
        </w:rPr>
        <w:t xml:space="preserve">Based on one </w:t>
      </w:r>
      <w:r w:rsidRPr="00EB671C">
        <w:rPr>
          <w:rFonts w:cs="Arial"/>
          <w:sz w:val="16"/>
          <w:szCs w:val="16"/>
          <w:lang w:val="en-AU"/>
        </w:rPr>
        <w:t>stakeholder</w:t>
      </w:r>
      <w:r w:rsidRPr="00B7209D">
        <w:rPr>
          <w:rFonts w:cs="Arial"/>
          <w:sz w:val="16"/>
          <w:szCs w:val="16"/>
          <w:lang w:val="en-AU"/>
        </w:rPr>
        <w:t xml:space="preserve"> comment made in a submission to the ‘call for information</w:t>
      </w:r>
      <w:r>
        <w:rPr>
          <w:rFonts w:cs="Arial"/>
          <w:sz w:val="16"/>
          <w:szCs w:val="16"/>
          <w:lang w:val="en-AU"/>
        </w:rPr>
        <w:t>’</w:t>
      </w:r>
      <w:r w:rsidRPr="00B7209D">
        <w:rPr>
          <w:rFonts w:cs="Arial"/>
          <w:sz w:val="16"/>
          <w:szCs w:val="16"/>
          <w:lang w:val="en-AU"/>
        </w:rPr>
        <w:t xml:space="preserve"> paper in June 2014.</w:t>
      </w:r>
      <w:r>
        <w:rPr>
          <w:lang w:val="en-AU"/>
        </w:rPr>
        <w:t xml:space="preserve"> </w:t>
      </w:r>
    </w:p>
  </w:footnote>
  <w:footnote w:id="31">
    <w:p w:rsidR="002239EF" w:rsidRPr="00FB4694" w:rsidRDefault="002239EF" w:rsidP="003C7A7D">
      <w:pPr>
        <w:pStyle w:val="FootnoteText"/>
        <w:ind w:left="709" w:hanging="709"/>
        <w:rPr>
          <w:lang w:val="en-AU"/>
        </w:rPr>
      </w:pPr>
      <w:r w:rsidRPr="00D330EE">
        <w:rPr>
          <w:rStyle w:val="FootnoteReference"/>
          <w:sz w:val="16"/>
          <w:szCs w:val="16"/>
        </w:rPr>
        <w:footnoteRef/>
      </w:r>
      <w:r>
        <w:t xml:space="preserve"> </w:t>
      </w:r>
      <w:r>
        <w:rPr>
          <w:lang w:val="en-AU"/>
        </w:rPr>
        <w:tab/>
      </w:r>
      <w:r w:rsidRPr="00FB4694">
        <w:rPr>
          <w:sz w:val="16"/>
          <w:szCs w:val="16"/>
          <w:lang w:val="en-AU"/>
        </w:rPr>
        <w:t xml:space="preserve">United States Energy Information Administration, accessed 18 January 2015, available: </w:t>
      </w:r>
      <w:hyperlink r:id="rId12" w:history="1">
        <w:r w:rsidRPr="00FB4694">
          <w:rPr>
            <w:rStyle w:val="Hyperlink"/>
            <w:sz w:val="16"/>
            <w:szCs w:val="16"/>
            <w:lang w:val="en-AU"/>
          </w:rPr>
          <w:t>http://www.eia.gov/dnav/pet/hist/LeafHandler.ashx?n=PET&amp;s=RWTC&amp;f=D</w:t>
        </w:r>
      </w:hyperlink>
    </w:p>
  </w:footnote>
  <w:footnote w:id="32">
    <w:p w:rsidR="002239EF" w:rsidRPr="00FB4694" w:rsidRDefault="002239EF" w:rsidP="00D330EE">
      <w:pPr>
        <w:pStyle w:val="FootnoteText"/>
        <w:ind w:left="709" w:hanging="709"/>
        <w:rPr>
          <w:lang w:val="en-AU"/>
        </w:rPr>
      </w:pPr>
      <w:r w:rsidRPr="00D330EE">
        <w:rPr>
          <w:rStyle w:val="FootnoteReference"/>
          <w:sz w:val="16"/>
          <w:szCs w:val="16"/>
        </w:rPr>
        <w:footnoteRef/>
      </w:r>
      <w:r>
        <w:t xml:space="preserve"> </w:t>
      </w:r>
      <w:r>
        <w:rPr>
          <w:lang w:val="en-AU"/>
        </w:rPr>
        <w:tab/>
      </w:r>
      <w:r w:rsidRPr="00FB4694">
        <w:rPr>
          <w:sz w:val="16"/>
          <w:szCs w:val="16"/>
          <w:lang w:val="en-AU"/>
        </w:rPr>
        <w:t xml:space="preserve">M. Phillips, </w:t>
      </w:r>
      <w:r w:rsidRPr="00FB4694">
        <w:rPr>
          <w:i/>
          <w:sz w:val="16"/>
          <w:szCs w:val="16"/>
          <w:lang w:val="en"/>
        </w:rPr>
        <w:t>Goldman's Oil Guru: The $50 Barrel Is Right on Time</w:t>
      </w:r>
      <w:r w:rsidRPr="00FB4694">
        <w:rPr>
          <w:sz w:val="16"/>
          <w:szCs w:val="16"/>
          <w:lang w:val="en"/>
        </w:rPr>
        <w:t xml:space="preserve">, published 7 January 2015, accessed 18 January 2015, available: </w:t>
      </w:r>
      <w:hyperlink r:id="rId13" w:history="1">
        <w:r w:rsidRPr="00FB4694">
          <w:rPr>
            <w:rStyle w:val="Hyperlink"/>
            <w:sz w:val="16"/>
            <w:szCs w:val="16"/>
            <w:lang w:val="en"/>
          </w:rPr>
          <w:t>http://www.businessweek.com/articles/2015-01-07/oil-falls-below-50-goldmans-guru-says-the-crash-is-right-on-time</w:t>
        </w:r>
      </w:hyperlink>
    </w:p>
  </w:footnote>
  <w:footnote w:id="33">
    <w:p w:rsidR="002239EF" w:rsidRPr="00385B9C" w:rsidRDefault="002239EF" w:rsidP="00756F17">
      <w:pPr>
        <w:pStyle w:val="FootnoteText"/>
        <w:ind w:left="709" w:hanging="709"/>
        <w:rPr>
          <w:rFonts w:cs="Arial"/>
          <w:bCs/>
          <w:kern w:val="36"/>
          <w:sz w:val="16"/>
          <w:szCs w:val="16"/>
          <w:lang w:val="en"/>
        </w:rPr>
      </w:pPr>
      <w:r w:rsidRPr="00715F4D">
        <w:rPr>
          <w:rStyle w:val="FootnoteReference"/>
          <w:rFonts w:cs="Arial"/>
          <w:sz w:val="16"/>
          <w:szCs w:val="16"/>
        </w:rPr>
        <w:footnoteRef/>
      </w:r>
      <w:r>
        <w:t xml:space="preserve"> </w:t>
      </w:r>
      <w:r>
        <w:rPr>
          <w:lang w:val="en-AU"/>
        </w:rPr>
        <w:tab/>
      </w:r>
      <w:r w:rsidRPr="00385B9C">
        <w:rPr>
          <w:rFonts w:cs="Arial"/>
          <w:bCs/>
          <w:kern w:val="36"/>
          <w:sz w:val="16"/>
          <w:szCs w:val="16"/>
          <w:lang w:val="en"/>
        </w:rPr>
        <w:t xml:space="preserve">Negative externalities occur when production and/or consumption impose external costs on third parties outside of the market for which no appropriate compensation is paid. </w:t>
      </w:r>
    </w:p>
  </w:footnote>
  <w:footnote w:id="34">
    <w:p w:rsidR="002239EF" w:rsidRPr="000B6516" w:rsidRDefault="002239EF" w:rsidP="00756F17">
      <w:pPr>
        <w:pStyle w:val="FootnoteText"/>
        <w:rPr>
          <w:sz w:val="16"/>
          <w:szCs w:val="16"/>
          <w:lang w:val="en-AU"/>
        </w:rPr>
      </w:pPr>
      <w:r w:rsidRPr="000B6516">
        <w:rPr>
          <w:rStyle w:val="FootnoteReference"/>
          <w:sz w:val="16"/>
          <w:szCs w:val="16"/>
        </w:rPr>
        <w:footnoteRef/>
      </w:r>
      <w:r w:rsidRPr="000B6516">
        <w:rPr>
          <w:sz w:val="16"/>
          <w:szCs w:val="16"/>
        </w:rPr>
        <w:t xml:space="preserve"> </w:t>
      </w:r>
      <w:r w:rsidRPr="000B6516">
        <w:rPr>
          <w:sz w:val="16"/>
          <w:szCs w:val="16"/>
        </w:rPr>
        <w:tab/>
      </w:r>
      <w:r>
        <w:rPr>
          <w:sz w:val="16"/>
          <w:szCs w:val="16"/>
        </w:rPr>
        <w:t xml:space="preserve">P </w:t>
      </w:r>
      <w:r>
        <w:rPr>
          <w:rFonts w:cs="Arial"/>
          <w:bCs/>
          <w:kern w:val="36"/>
          <w:sz w:val="16"/>
          <w:szCs w:val="16"/>
          <w:lang w:val="en"/>
        </w:rPr>
        <w:t xml:space="preserve">Abelson, </w:t>
      </w:r>
      <w:r w:rsidRPr="002C1FAF">
        <w:rPr>
          <w:rFonts w:cs="Arial"/>
          <w:bCs/>
          <w:i/>
          <w:kern w:val="36"/>
          <w:sz w:val="16"/>
          <w:szCs w:val="16"/>
          <w:lang w:val="en"/>
        </w:rPr>
        <w:t>Public</w:t>
      </w:r>
      <w:r w:rsidRPr="000B6516">
        <w:rPr>
          <w:rFonts w:cs="Arial"/>
          <w:bCs/>
          <w:i/>
          <w:kern w:val="36"/>
          <w:sz w:val="16"/>
          <w:szCs w:val="16"/>
          <w:lang w:val="en"/>
        </w:rPr>
        <w:t xml:space="preserve"> Economics: principles and practice</w:t>
      </w:r>
      <w:r w:rsidRPr="000B6516">
        <w:rPr>
          <w:rFonts w:cs="Arial"/>
          <w:bCs/>
          <w:kern w:val="36"/>
          <w:sz w:val="16"/>
          <w:szCs w:val="16"/>
          <w:lang w:val="en"/>
        </w:rPr>
        <w:t>, second edition, McGraw-Hill Australia, 2008</w:t>
      </w:r>
      <w:r>
        <w:rPr>
          <w:rFonts w:cs="Arial"/>
          <w:bCs/>
          <w:kern w:val="36"/>
          <w:sz w:val="16"/>
          <w:szCs w:val="16"/>
          <w:lang w:val="en"/>
        </w:rPr>
        <w:t xml:space="preserve">, </w:t>
      </w:r>
      <w:r w:rsidRPr="000B6516">
        <w:rPr>
          <w:rFonts w:cs="Arial"/>
          <w:bCs/>
          <w:kern w:val="36"/>
          <w:sz w:val="16"/>
          <w:szCs w:val="16"/>
          <w:lang w:val="en"/>
        </w:rPr>
        <w:t>pp. 240-241.</w:t>
      </w:r>
    </w:p>
  </w:footnote>
  <w:footnote w:id="35">
    <w:p w:rsidR="002239EF" w:rsidRPr="002C6182" w:rsidRDefault="002239EF" w:rsidP="000621D4">
      <w:pPr>
        <w:pStyle w:val="FootnoteText"/>
        <w:ind w:left="709" w:hanging="709"/>
        <w:rPr>
          <w:rFonts w:cs="Arial"/>
          <w:sz w:val="16"/>
          <w:szCs w:val="16"/>
          <w:lang w:val="en-AU"/>
        </w:rPr>
      </w:pPr>
      <w:r w:rsidRPr="008B0121">
        <w:rPr>
          <w:rStyle w:val="FootnoteReference"/>
          <w:rFonts w:cs="Arial"/>
          <w:sz w:val="16"/>
          <w:szCs w:val="16"/>
        </w:rPr>
        <w:footnoteRef/>
      </w:r>
      <w:r w:rsidRPr="00B8653A">
        <w:rPr>
          <w:rFonts w:ascii="Calibri" w:hAnsi="Calibri"/>
          <w:sz w:val="18"/>
          <w:szCs w:val="18"/>
        </w:rPr>
        <w:t xml:space="preserve"> </w:t>
      </w:r>
      <w:r w:rsidRPr="00B8653A">
        <w:rPr>
          <w:rFonts w:ascii="Calibri" w:hAnsi="Calibri"/>
          <w:sz w:val="18"/>
          <w:szCs w:val="18"/>
        </w:rPr>
        <w:tab/>
      </w:r>
      <w:proofErr w:type="gramStart"/>
      <w:r>
        <w:rPr>
          <w:rFonts w:ascii="Calibri" w:hAnsi="Calibri"/>
          <w:sz w:val="18"/>
          <w:szCs w:val="18"/>
        </w:rPr>
        <w:t xml:space="preserve">F </w:t>
      </w:r>
      <w:r w:rsidRPr="002C6182">
        <w:rPr>
          <w:rFonts w:cs="Arial"/>
          <w:sz w:val="16"/>
          <w:szCs w:val="16"/>
        </w:rPr>
        <w:t xml:space="preserve">Perreau, </w:t>
      </w:r>
      <w:r w:rsidRPr="002C6182">
        <w:rPr>
          <w:rFonts w:cs="Arial"/>
          <w:i/>
          <w:sz w:val="16"/>
          <w:szCs w:val="16"/>
        </w:rPr>
        <w:t>The criteria that lead consumers to brand switching,</w:t>
      </w:r>
      <w:r>
        <w:rPr>
          <w:rFonts w:cs="Arial"/>
          <w:i/>
          <w:sz w:val="16"/>
          <w:szCs w:val="16"/>
        </w:rPr>
        <w:t> </w:t>
      </w:r>
      <w:r w:rsidRPr="002C6182">
        <w:rPr>
          <w:rFonts w:cs="Arial"/>
          <w:sz w:val="16"/>
          <w:szCs w:val="16"/>
        </w:rPr>
        <w:t>2014</w:t>
      </w:r>
      <w:r>
        <w:rPr>
          <w:rFonts w:cs="Arial"/>
          <w:sz w:val="16"/>
          <w:szCs w:val="16"/>
        </w:rPr>
        <w:t xml:space="preserve">, viewed 18 September 2014, </w:t>
      </w:r>
      <w:hyperlink r:id="rId14" w:history="1">
        <w:r w:rsidRPr="002C6182">
          <w:rPr>
            <w:rStyle w:val="Hyperlink"/>
            <w:rFonts w:cs="Arial"/>
            <w:sz w:val="16"/>
            <w:szCs w:val="16"/>
          </w:rPr>
          <w:t>http://theconsumerfactor.com/en/criteria-lead-consumers-brand-switching/</w:t>
        </w:r>
      </w:hyperlink>
      <w:r w:rsidRPr="002C6182">
        <w:rPr>
          <w:rFonts w:cs="Arial"/>
          <w:sz w:val="16"/>
          <w:szCs w:val="16"/>
        </w:rPr>
        <w:t>.</w:t>
      </w:r>
      <w:proofErr w:type="gramEnd"/>
    </w:p>
  </w:footnote>
  <w:footnote w:id="36">
    <w:p w:rsidR="002239EF" w:rsidRPr="002C6182" w:rsidRDefault="002239EF" w:rsidP="000621D4">
      <w:pPr>
        <w:pStyle w:val="FootnoteText"/>
        <w:ind w:left="709" w:hanging="709"/>
        <w:rPr>
          <w:rFonts w:cs="Arial"/>
          <w:sz w:val="16"/>
          <w:szCs w:val="16"/>
          <w:lang w:val="en-AU"/>
        </w:rPr>
      </w:pPr>
      <w:r w:rsidRPr="002C6182">
        <w:rPr>
          <w:rStyle w:val="FootnoteReference"/>
          <w:rFonts w:cs="Arial"/>
          <w:sz w:val="16"/>
          <w:szCs w:val="16"/>
        </w:rPr>
        <w:footnoteRef/>
      </w:r>
      <w:r w:rsidRPr="002C6182">
        <w:rPr>
          <w:rFonts w:cs="Arial"/>
          <w:sz w:val="16"/>
          <w:szCs w:val="16"/>
        </w:rPr>
        <w:t xml:space="preserve"> </w:t>
      </w:r>
      <w:r w:rsidRPr="002C6182">
        <w:rPr>
          <w:rFonts w:cs="Arial"/>
          <w:sz w:val="16"/>
          <w:szCs w:val="16"/>
        </w:rPr>
        <w:tab/>
        <w:t xml:space="preserve">See </w:t>
      </w:r>
      <w:hyperlink r:id="rId15" w:history="1">
        <w:r w:rsidRPr="002C6182">
          <w:rPr>
            <w:rStyle w:val="Hyperlink"/>
            <w:rFonts w:cs="Arial"/>
            <w:sz w:val="16"/>
            <w:szCs w:val="16"/>
          </w:rPr>
          <w:t>https://oecotextiles.wordpress.com/category/certifications-2/oeko-tex-certifications/</w:t>
        </w:r>
      </w:hyperlink>
      <w:r w:rsidRPr="002C6182">
        <w:rPr>
          <w:rFonts w:cs="Arial"/>
          <w:sz w:val="16"/>
          <w:szCs w:val="16"/>
        </w:rPr>
        <w:t xml:space="preserve"> for further information.</w:t>
      </w:r>
    </w:p>
  </w:footnote>
  <w:footnote w:id="37">
    <w:p w:rsidR="002239EF" w:rsidRPr="007E7EEE" w:rsidRDefault="002239EF" w:rsidP="000621D4">
      <w:pPr>
        <w:pStyle w:val="FootnoteText"/>
        <w:ind w:left="709" w:hanging="709"/>
        <w:rPr>
          <w:lang w:val="en-AU"/>
        </w:rPr>
      </w:pPr>
      <w:r w:rsidRPr="008B0121">
        <w:rPr>
          <w:rStyle w:val="FootnoteReference"/>
          <w:rFonts w:cs="Arial"/>
          <w:sz w:val="16"/>
          <w:szCs w:val="16"/>
        </w:rPr>
        <w:footnoteRef/>
      </w:r>
      <w:r w:rsidRPr="008B0121">
        <w:rPr>
          <w:rStyle w:val="FootnoteReference"/>
          <w:rFonts w:cs="Arial"/>
          <w:sz w:val="16"/>
          <w:szCs w:val="16"/>
        </w:rPr>
        <w:t xml:space="preserve"> </w:t>
      </w:r>
      <w:r>
        <w:tab/>
      </w:r>
      <w:r w:rsidRPr="00373DF6">
        <w:rPr>
          <w:sz w:val="16"/>
          <w:lang w:val="en-AU"/>
        </w:rPr>
        <w:t xml:space="preserve">Reported in </w:t>
      </w:r>
      <w:proofErr w:type="spellStart"/>
      <w:r w:rsidRPr="00373DF6">
        <w:rPr>
          <w:sz w:val="16"/>
          <w:lang w:val="en-AU"/>
        </w:rPr>
        <w:t>Oeko</w:t>
      </w:r>
      <w:r w:rsidRPr="007E7EEE">
        <w:rPr>
          <w:rFonts w:cs="Arial"/>
          <w:sz w:val="16"/>
          <w:szCs w:val="16"/>
          <w:lang w:val="en-AU"/>
        </w:rPr>
        <w:t>-Tex</w:t>
      </w:r>
      <w:proofErr w:type="spellEnd"/>
      <w:r w:rsidRPr="007E7EEE">
        <w:rPr>
          <w:rFonts w:cs="Arial"/>
          <w:sz w:val="16"/>
          <w:szCs w:val="16"/>
          <w:lang w:val="en-AU"/>
        </w:rPr>
        <w:t xml:space="preserve"> News, Edition 2/2008, p. 8, </w:t>
      </w:r>
      <w:r>
        <w:rPr>
          <w:rFonts w:cs="Arial"/>
          <w:sz w:val="16"/>
          <w:szCs w:val="16"/>
          <w:lang w:val="en-AU"/>
        </w:rPr>
        <w:t>viewed 15 September 2014</w:t>
      </w:r>
      <w:proofErr w:type="gramStart"/>
      <w:r>
        <w:rPr>
          <w:rFonts w:cs="Arial"/>
          <w:sz w:val="16"/>
          <w:szCs w:val="16"/>
          <w:lang w:val="en-AU"/>
        </w:rPr>
        <w:t>,</w:t>
      </w:r>
      <w:proofErr w:type="gramEnd"/>
      <w:r>
        <w:rPr>
          <w:rFonts w:cs="Arial"/>
          <w:sz w:val="16"/>
          <w:szCs w:val="16"/>
          <w:lang w:val="en-AU"/>
        </w:rPr>
        <w:fldChar w:fldCharType="begin"/>
      </w:r>
      <w:r>
        <w:rPr>
          <w:rFonts w:cs="Arial"/>
          <w:sz w:val="16"/>
          <w:szCs w:val="16"/>
          <w:lang w:val="en-AU"/>
        </w:rPr>
        <w:instrText xml:space="preserve"> HYPERLINK "</w:instrText>
      </w:r>
      <w:r w:rsidRPr="00304AA5">
        <w:instrText>https://www.oeko-tex.com/media/downloads/OEKO_TEX_NEWS_2008-2_EN.pdf</w:instrText>
      </w:r>
      <w:r>
        <w:rPr>
          <w:rFonts w:cs="Arial"/>
          <w:sz w:val="16"/>
          <w:szCs w:val="16"/>
          <w:lang w:val="en-AU"/>
        </w:rPr>
        <w:instrText xml:space="preserve">" </w:instrText>
      </w:r>
      <w:r>
        <w:rPr>
          <w:rFonts w:cs="Arial"/>
          <w:sz w:val="16"/>
          <w:szCs w:val="16"/>
          <w:lang w:val="en-AU"/>
        </w:rPr>
        <w:fldChar w:fldCharType="separate"/>
      </w:r>
      <w:r w:rsidRPr="00FC7E16">
        <w:rPr>
          <w:rStyle w:val="Hyperlink"/>
          <w:rFonts w:cs="Arial"/>
          <w:sz w:val="16"/>
          <w:szCs w:val="16"/>
          <w:lang w:val="en-AU"/>
        </w:rPr>
        <w:t>https://www.oeko-tex.com/media/downloads/OEKO_TEX_NEWS_2008-2_EN.pdf</w:t>
      </w:r>
      <w:r>
        <w:rPr>
          <w:rFonts w:cs="Arial"/>
          <w:sz w:val="16"/>
          <w:szCs w:val="16"/>
          <w:lang w:val="en-AU"/>
        </w:rPr>
        <w:fldChar w:fldCharType="end"/>
      </w:r>
      <w:r>
        <w:rPr>
          <w:rFonts w:cs="Arial"/>
          <w:sz w:val="16"/>
          <w:szCs w:val="16"/>
          <w:lang w:val="en-AU"/>
        </w:rPr>
        <w:t>.</w:t>
      </w:r>
    </w:p>
  </w:footnote>
  <w:footnote w:id="38">
    <w:p w:rsidR="002239EF" w:rsidRPr="007E7EEE" w:rsidRDefault="002239EF" w:rsidP="000621D4">
      <w:pPr>
        <w:pStyle w:val="FootnoteText"/>
        <w:ind w:left="709" w:hanging="709"/>
        <w:rPr>
          <w:lang w:val="en-AU"/>
        </w:rPr>
      </w:pPr>
      <w:r w:rsidRPr="008B0121">
        <w:rPr>
          <w:rStyle w:val="FootnoteReference"/>
          <w:rFonts w:cs="Arial"/>
          <w:sz w:val="16"/>
          <w:szCs w:val="16"/>
        </w:rPr>
        <w:footnoteRef/>
      </w:r>
      <w:r>
        <w:t xml:space="preserve"> </w:t>
      </w:r>
      <w:r>
        <w:rPr>
          <w:lang w:val="en-AU"/>
        </w:rPr>
        <w:tab/>
      </w:r>
      <w:r w:rsidRPr="00304AA5">
        <w:rPr>
          <w:sz w:val="16"/>
          <w:lang w:val="en-AU"/>
        </w:rPr>
        <w:t xml:space="preserve">S Bramel </w:t>
      </w:r>
      <w:r>
        <w:rPr>
          <w:lang w:val="en-AU"/>
        </w:rPr>
        <w:t>‘</w:t>
      </w:r>
      <w:r w:rsidRPr="007E7EEE">
        <w:rPr>
          <w:rFonts w:cs="Arial"/>
          <w:sz w:val="16"/>
          <w:szCs w:val="16"/>
          <w:lang w:val="en-AU"/>
        </w:rPr>
        <w:t xml:space="preserve">Ethics and manufacturing social responsibility in apparel sourcing’ </w:t>
      </w:r>
      <w:r>
        <w:rPr>
          <w:rFonts w:cs="Arial"/>
          <w:sz w:val="16"/>
          <w:szCs w:val="16"/>
          <w:lang w:val="en-AU"/>
        </w:rPr>
        <w:t>, viewed 7 October 2014,</w:t>
      </w:r>
      <w:hyperlink r:id="rId16" w:history="1">
        <w:r w:rsidRPr="007E7EEE">
          <w:rPr>
            <w:rStyle w:val="Hyperlink"/>
            <w:sz w:val="16"/>
            <w:szCs w:val="16"/>
            <w:lang w:val="en-AU"/>
          </w:rPr>
          <w:t>http://www.performancedays.eu/ethics-manufacturing-social-responsibility-in-apparel-sourcing.html</w:t>
        </w:r>
      </w:hyperlink>
      <w:r>
        <w:rPr>
          <w:rStyle w:val="Hyperlink"/>
          <w:sz w:val="16"/>
          <w:szCs w:val="16"/>
        </w:rPr>
        <w:t>.</w:t>
      </w:r>
    </w:p>
  </w:footnote>
  <w:footnote w:id="39">
    <w:p w:rsidR="002239EF" w:rsidRPr="002C6182" w:rsidRDefault="002239EF" w:rsidP="000621D4">
      <w:pPr>
        <w:ind w:left="709" w:hanging="709"/>
        <w:rPr>
          <w:rFonts w:ascii="Arial" w:hAnsi="Arial" w:cs="Arial"/>
          <w:sz w:val="16"/>
          <w:szCs w:val="16"/>
        </w:rPr>
      </w:pPr>
      <w:r w:rsidRPr="008B0121">
        <w:rPr>
          <w:rStyle w:val="FootnoteReference"/>
          <w:rFonts w:ascii="Arial" w:hAnsi="Arial" w:cs="Arial"/>
          <w:sz w:val="16"/>
          <w:szCs w:val="16"/>
          <w:lang w:val="en-GB"/>
        </w:rPr>
        <w:footnoteRef/>
      </w:r>
      <w:r w:rsidRPr="008B0121">
        <w:rPr>
          <w:rStyle w:val="FootnoteReference"/>
          <w:lang w:val="en-GB"/>
        </w:rPr>
        <w:t xml:space="preserve"> </w:t>
      </w:r>
      <w:r w:rsidRPr="002C6182">
        <w:rPr>
          <w:rFonts w:ascii="Arial" w:hAnsi="Arial" w:cs="Arial"/>
          <w:sz w:val="16"/>
          <w:szCs w:val="16"/>
        </w:rPr>
        <w:tab/>
      </w:r>
      <w:r>
        <w:rPr>
          <w:rFonts w:ascii="Arial" w:hAnsi="Arial" w:cs="Arial"/>
          <w:sz w:val="16"/>
          <w:szCs w:val="16"/>
        </w:rPr>
        <w:t xml:space="preserve">B </w:t>
      </w:r>
      <w:r w:rsidRPr="002C6182">
        <w:rPr>
          <w:rFonts w:ascii="Arial" w:hAnsi="Arial" w:cs="Arial"/>
          <w:sz w:val="16"/>
          <w:szCs w:val="16"/>
        </w:rPr>
        <w:t xml:space="preserve">Willmann, and </w:t>
      </w:r>
      <w:r>
        <w:rPr>
          <w:rFonts w:ascii="Arial" w:hAnsi="Arial" w:cs="Arial"/>
          <w:sz w:val="16"/>
          <w:szCs w:val="16"/>
        </w:rPr>
        <w:t xml:space="preserve">J </w:t>
      </w:r>
      <w:r w:rsidRPr="002C6182">
        <w:rPr>
          <w:rFonts w:ascii="Arial" w:hAnsi="Arial" w:cs="Arial"/>
          <w:sz w:val="16"/>
          <w:szCs w:val="16"/>
        </w:rPr>
        <w:t xml:space="preserve">Groten, </w:t>
      </w:r>
      <w:r w:rsidRPr="002C6182">
        <w:rPr>
          <w:rFonts w:ascii="Arial" w:hAnsi="Arial" w:cs="Arial"/>
          <w:i/>
          <w:sz w:val="16"/>
          <w:szCs w:val="16"/>
        </w:rPr>
        <w:t>20</w:t>
      </w:r>
      <w:r>
        <w:rPr>
          <w:rFonts w:ascii="Arial" w:hAnsi="Arial" w:cs="Arial"/>
          <w:i/>
          <w:sz w:val="16"/>
          <w:szCs w:val="16"/>
        </w:rPr>
        <w:t> </w:t>
      </w:r>
      <w:r w:rsidRPr="002C6182">
        <w:rPr>
          <w:rFonts w:ascii="Arial" w:hAnsi="Arial" w:cs="Arial"/>
          <w:i/>
          <w:sz w:val="16"/>
          <w:szCs w:val="16"/>
        </w:rPr>
        <w:t>years of Oeko-Tex® Standard 100: Project Report of a worldwide Consumer-Survey</w:t>
      </w:r>
      <w:r w:rsidRPr="002C6182">
        <w:rPr>
          <w:rFonts w:ascii="Arial" w:hAnsi="Arial" w:cs="Arial"/>
          <w:sz w:val="16"/>
          <w:szCs w:val="16"/>
        </w:rPr>
        <w:t xml:space="preserve">, </w:t>
      </w:r>
      <w:r>
        <w:rPr>
          <w:rFonts w:ascii="Arial" w:hAnsi="Arial" w:cs="Arial"/>
          <w:sz w:val="16"/>
          <w:szCs w:val="16"/>
        </w:rPr>
        <w:t xml:space="preserve">2012, viewed 18 September 2014, </w:t>
      </w:r>
      <w:hyperlink r:id="rId17" w:history="1">
        <w:r w:rsidRPr="002C6182">
          <w:rPr>
            <w:rStyle w:val="Hyperlink"/>
            <w:rFonts w:ascii="Arial" w:hAnsi="Arial" w:cs="Arial"/>
            <w:sz w:val="16"/>
            <w:szCs w:val="16"/>
          </w:rPr>
          <w:t>https://www.oeko-tex.com/media/downloads/OETS_100_Consumer-Survey_2012_en.pdf</w:t>
        </w:r>
      </w:hyperlink>
      <w:r w:rsidRPr="002C6182">
        <w:rPr>
          <w:rFonts w:ascii="Arial" w:hAnsi="Arial" w:cs="Arial"/>
          <w:sz w:val="16"/>
          <w:szCs w:val="16"/>
        </w:rPr>
        <w:t xml:space="preserve">. </w:t>
      </w:r>
    </w:p>
  </w:footnote>
  <w:footnote w:id="40">
    <w:p w:rsidR="002239EF" w:rsidRPr="00F969C5" w:rsidRDefault="002239EF" w:rsidP="00F969C5">
      <w:pPr>
        <w:pStyle w:val="FootnoteText"/>
        <w:ind w:left="709" w:hanging="709"/>
        <w:rPr>
          <w:sz w:val="16"/>
          <w:szCs w:val="16"/>
          <w:lang w:val="en-AU"/>
        </w:rPr>
      </w:pPr>
      <w:r w:rsidRPr="008B0121">
        <w:rPr>
          <w:rStyle w:val="FootnoteReference"/>
          <w:rFonts w:cs="Arial"/>
          <w:sz w:val="16"/>
          <w:szCs w:val="16"/>
        </w:rPr>
        <w:footnoteRef/>
      </w:r>
      <w:r>
        <w:t xml:space="preserve"> </w:t>
      </w:r>
      <w:r>
        <w:rPr>
          <w:lang w:val="en-AU"/>
        </w:rPr>
        <w:tab/>
      </w:r>
      <w:r w:rsidRPr="00F969C5">
        <w:rPr>
          <w:sz w:val="16"/>
          <w:szCs w:val="16"/>
          <w:lang w:val="en-AU"/>
        </w:rPr>
        <w:t>The ACCC administers 42 mandatory safety standards and 22 permanent bans</w:t>
      </w:r>
      <w:r>
        <w:rPr>
          <w:sz w:val="16"/>
          <w:szCs w:val="16"/>
          <w:lang w:val="en-AU"/>
        </w:rPr>
        <w:t xml:space="preserve"> on consumer goods. These bans and standards were made under the provisions of the Australian Consumer Law or the previous </w:t>
      </w:r>
      <w:r w:rsidRPr="00F969C5">
        <w:rPr>
          <w:i/>
          <w:sz w:val="16"/>
          <w:szCs w:val="16"/>
          <w:lang w:val="en-AU"/>
        </w:rPr>
        <w:t>Trade Practices Act 1974</w:t>
      </w:r>
      <w:r>
        <w:rPr>
          <w:sz w:val="16"/>
          <w:szCs w:val="16"/>
          <w:lang w:val="en-AU"/>
        </w:rPr>
        <w:t>.</w:t>
      </w:r>
    </w:p>
  </w:footnote>
  <w:footnote w:id="41">
    <w:p w:rsidR="002239EF" w:rsidRDefault="002239EF" w:rsidP="007657FE">
      <w:pPr>
        <w:pStyle w:val="FootnoteText"/>
        <w:rPr>
          <w:color w:val="1F497D"/>
        </w:rPr>
      </w:pPr>
      <w:r w:rsidRPr="008B0121">
        <w:rPr>
          <w:rStyle w:val="FootnoteReference"/>
          <w:rFonts w:cs="Arial"/>
          <w:sz w:val="16"/>
          <w:szCs w:val="16"/>
        </w:rPr>
        <w:footnoteRef/>
      </w:r>
      <w:r w:rsidRPr="000B6516">
        <w:rPr>
          <w:sz w:val="16"/>
          <w:szCs w:val="16"/>
        </w:rPr>
        <w:t xml:space="preserve"> </w:t>
      </w:r>
      <w:r w:rsidRPr="000B6516">
        <w:rPr>
          <w:sz w:val="16"/>
          <w:szCs w:val="16"/>
          <w:lang w:val="en-AU"/>
        </w:rPr>
        <w:tab/>
        <w:t xml:space="preserve">See ComLaw: </w:t>
      </w:r>
      <w:hyperlink r:id="rId18" w:history="1">
        <w:r w:rsidRPr="000B6516">
          <w:rPr>
            <w:rStyle w:val="Hyperlink"/>
            <w:sz w:val="16"/>
            <w:szCs w:val="16"/>
          </w:rPr>
          <w:t>http://www.comlaw.gov.au/Details/F2014L00566</w:t>
        </w:r>
      </w:hyperlink>
      <w:r>
        <w:rPr>
          <w:rStyle w:val="Hyperlink"/>
          <w:sz w:val="16"/>
          <w:szCs w:val="16"/>
        </w:rPr>
        <w:t>.</w:t>
      </w:r>
    </w:p>
  </w:footnote>
  <w:footnote w:id="42">
    <w:p w:rsidR="002239EF" w:rsidRPr="00715F4D" w:rsidRDefault="002239EF" w:rsidP="00715F4D">
      <w:pPr>
        <w:pStyle w:val="FootnoteText"/>
        <w:ind w:left="709" w:hanging="709"/>
        <w:rPr>
          <w:lang w:val="en-AU"/>
        </w:rPr>
      </w:pPr>
      <w:r w:rsidRPr="00715F4D">
        <w:rPr>
          <w:rStyle w:val="FootnoteReference"/>
          <w:rFonts w:cs="Arial"/>
          <w:sz w:val="16"/>
          <w:szCs w:val="16"/>
        </w:rPr>
        <w:footnoteRef/>
      </w:r>
      <w:r w:rsidRPr="00715F4D">
        <w:rPr>
          <w:rStyle w:val="FootnoteReference"/>
          <w:rFonts w:cs="Arial"/>
          <w:sz w:val="16"/>
          <w:szCs w:val="16"/>
        </w:rPr>
        <w:t xml:space="preserve"> </w:t>
      </w:r>
      <w:r>
        <w:rPr>
          <w:lang w:val="en-AU"/>
        </w:rPr>
        <w:tab/>
      </w:r>
      <w:proofErr w:type="gramStart"/>
      <w:r>
        <w:rPr>
          <w:sz w:val="16"/>
          <w:lang w:val="en-AU"/>
        </w:rPr>
        <w:t xml:space="preserve">R </w:t>
      </w:r>
      <w:proofErr w:type="spellStart"/>
      <w:r w:rsidRPr="00715F4D">
        <w:rPr>
          <w:sz w:val="16"/>
          <w:szCs w:val="16"/>
        </w:rPr>
        <w:t>Sarre</w:t>
      </w:r>
      <w:proofErr w:type="spellEnd"/>
      <w:r>
        <w:rPr>
          <w:sz w:val="16"/>
          <w:szCs w:val="16"/>
        </w:rPr>
        <w:t xml:space="preserve"> </w:t>
      </w:r>
      <w:r w:rsidRPr="00715F4D">
        <w:rPr>
          <w:sz w:val="16"/>
          <w:szCs w:val="16"/>
        </w:rPr>
        <w:t xml:space="preserve">and </w:t>
      </w:r>
      <w:r>
        <w:rPr>
          <w:sz w:val="16"/>
          <w:szCs w:val="16"/>
        </w:rPr>
        <w:t xml:space="preserve">R </w:t>
      </w:r>
      <w:proofErr w:type="spellStart"/>
      <w:r w:rsidRPr="00715F4D">
        <w:rPr>
          <w:sz w:val="16"/>
          <w:szCs w:val="16"/>
        </w:rPr>
        <w:t>Johnstone</w:t>
      </w:r>
      <w:proofErr w:type="spellEnd"/>
      <w:r w:rsidRPr="00715F4D">
        <w:rPr>
          <w:sz w:val="16"/>
          <w:szCs w:val="16"/>
        </w:rPr>
        <w:t>.</w:t>
      </w:r>
      <w:proofErr w:type="gramEnd"/>
      <w:r>
        <w:rPr>
          <w:sz w:val="16"/>
          <w:szCs w:val="16"/>
        </w:rPr>
        <w:t xml:space="preserve"> </w:t>
      </w:r>
      <w:r w:rsidRPr="00715F4D">
        <w:rPr>
          <w:i/>
          <w:sz w:val="16"/>
          <w:szCs w:val="16"/>
        </w:rPr>
        <w:t xml:space="preserve">Regulation: Enforcement and Compliance, </w:t>
      </w:r>
      <w:r w:rsidRPr="00715F4D">
        <w:rPr>
          <w:sz w:val="16"/>
          <w:szCs w:val="16"/>
        </w:rPr>
        <w:t xml:space="preserve">Research and Public Policy Series No. 57, Australian Crime Commission, 2004, viewed 1 August 2014, </w:t>
      </w:r>
      <w:hyperlink r:id="rId19" w:history="1">
        <w:r w:rsidRPr="00715F4D">
          <w:rPr>
            <w:rStyle w:val="Hyperlink"/>
            <w:sz w:val="16"/>
            <w:szCs w:val="16"/>
          </w:rPr>
          <w:t>http://www.aic.gov.au/documents/B/A/0/%7BBA0FC2D0-B43E-4CB6-A5AD-95ACE70542AA%7DRPP57.pdf</w:t>
        </w:r>
      </w:hyperlink>
      <w:r>
        <w:rPr>
          <w:rStyle w:val="Hyperlink"/>
          <w:sz w:val="16"/>
          <w:szCs w:val="16"/>
        </w:rPr>
        <w:t>.</w:t>
      </w:r>
    </w:p>
  </w:footnote>
  <w:footnote w:id="43">
    <w:p w:rsidR="002239EF" w:rsidRPr="00F36B02" w:rsidRDefault="002239EF" w:rsidP="008323E2">
      <w:pPr>
        <w:pStyle w:val="FootnoteText"/>
        <w:rPr>
          <w:lang w:val="en-AU"/>
        </w:rPr>
      </w:pPr>
      <w:r w:rsidRPr="008B0121">
        <w:rPr>
          <w:rStyle w:val="FootnoteReference"/>
          <w:rFonts w:cs="Arial"/>
          <w:sz w:val="16"/>
          <w:szCs w:val="16"/>
        </w:rPr>
        <w:footnoteRef/>
      </w:r>
      <w:r w:rsidRPr="008B0121">
        <w:rPr>
          <w:rStyle w:val="FootnoteReference"/>
          <w:rFonts w:cs="Arial"/>
        </w:rPr>
        <w:t xml:space="preserve"> </w:t>
      </w:r>
      <w:r w:rsidRPr="007236D3">
        <w:rPr>
          <w:sz w:val="16"/>
          <w:szCs w:val="16"/>
        </w:rPr>
        <w:tab/>
      </w:r>
      <w:r>
        <w:rPr>
          <w:sz w:val="16"/>
          <w:szCs w:val="16"/>
        </w:rPr>
        <w:t>i</w:t>
      </w:r>
      <w:r w:rsidRPr="007236D3">
        <w:rPr>
          <w:sz w:val="16"/>
          <w:szCs w:val="16"/>
        </w:rPr>
        <w:t>bid</w:t>
      </w:r>
      <w:r>
        <w:rPr>
          <w:sz w:val="16"/>
          <w:szCs w:val="16"/>
        </w:rPr>
        <w:t>., p. 5</w:t>
      </w:r>
      <w:r w:rsidRPr="007236D3">
        <w:rPr>
          <w:sz w:val="16"/>
          <w:szCs w:val="16"/>
        </w:rPr>
        <w:t>.</w:t>
      </w:r>
    </w:p>
  </w:footnote>
  <w:footnote w:id="44">
    <w:p w:rsidR="002239EF" w:rsidRPr="00D330EE" w:rsidRDefault="002239EF">
      <w:pPr>
        <w:pStyle w:val="FootnoteText"/>
        <w:rPr>
          <w:lang w:val="en-AU"/>
        </w:rPr>
      </w:pPr>
      <w:r w:rsidRPr="00D330EE">
        <w:rPr>
          <w:rStyle w:val="FootnoteReference"/>
          <w:sz w:val="16"/>
          <w:szCs w:val="16"/>
        </w:rPr>
        <w:footnoteRef/>
      </w:r>
      <w:r>
        <w:t xml:space="preserve"> </w:t>
      </w:r>
      <w:r>
        <w:rPr>
          <w:lang w:val="en-AU"/>
        </w:rPr>
        <w:tab/>
      </w:r>
      <w:r w:rsidRPr="00D330EE">
        <w:rPr>
          <w:sz w:val="16"/>
          <w:szCs w:val="16"/>
          <w:lang w:val="en-AU"/>
        </w:rPr>
        <w:t xml:space="preserve">See: </w:t>
      </w:r>
      <w:hyperlink r:id="rId20" w:history="1">
        <w:r w:rsidRPr="00D330EE">
          <w:rPr>
            <w:rStyle w:val="Hyperlink"/>
            <w:sz w:val="16"/>
            <w:szCs w:val="16"/>
            <w:lang w:val="en-AU"/>
          </w:rPr>
          <w:t>http://www.productsafety.gov.au/content/index.phtml/itemId/1009938</w:t>
        </w:r>
      </w:hyperlink>
    </w:p>
  </w:footnote>
  <w:footnote w:id="45">
    <w:p w:rsidR="002239EF" w:rsidRPr="00565345" w:rsidRDefault="002239EF" w:rsidP="00565345">
      <w:pPr>
        <w:pStyle w:val="FootnoteText"/>
        <w:ind w:left="709" w:hanging="709"/>
        <w:rPr>
          <w:lang w:val="en-AU"/>
        </w:rPr>
      </w:pPr>
      <w:r w:rsidRPr="00565345">
        <w:rPr>
          <w:rStyle w:val="FootnoteReference"/>
          <w:sz w:val="16"/>
          <w:szCs w:val="16"/>
        </w:rPr>
        <w:footnoteRef/>
      </w:r>
      <w:r>
        <w:t xml:space="preserve"> </w:t>
      </w:r>
      <w:r>
        <w:rPr>
          <w:lang w:val="en-AU"/>
        </w:rPr>
        <w:tab/>
      </w:r>
      <w:r w:rsidRPr="00565345">
        <w:rPr>
          <w:sz w:val="16"/>
          <w:szCs w:val="16"/>
          <w:lang w:val="en-AU"/>
        </w:rPr>
        <w:t xml:space="preserve">ACCC, Compliance </w:t>
      </w:r>
      <w:r>
        <w:rPr>
          <w:sz w:val="16"/>
          <w:szCs w:val="16"/>
          <w:lang w:val="en-AU"/>
        </w:rPr>
        <w:t>and Enforcement P</w:t>
      </w:r>
      <w:r w:rsidRPr="00565345">
        <w:rPr>
          <w:sz w:val="16"/>
          <w:szCs w:val="16"/>
          <w:lang w:val="en-AU"/>
        </w:rPr>
        <w:t xml:space="preserve">olicy, available: </w:t>
      </w:r>
      <w:hyperlink r:id="rId21" w:history="1">
        <w:r w:rsidRPr="00565345">
          <w:rPr>
            <w:rStyle w:val="Hyperlink"/>
            <w:sz w:val="16"/>
            <w:szCs w:val="16"/>
            <w:lang w:val="en-AU"/>
          </w:rPr>
          <w:t>https://www.accc.gov.au/about-us/australian-competition-consumer-commission/compliance-enforcement-policy</w:t>
        </w:r>
      </w:hyperlink>
    </w:p>
  </w:footnote>
  <w:footnote w:id="46">
    <w:p w:rsidR="002239EF" w:rsidRPr="0018472C" w:rsidRDefault="002239EF" w:rsidP="002111F8">
      <w:pPr>
        <w:pStyle w:val="FootnoteText"/>
        <w:ind w:left="709" w:hanging="709"/>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lang w:val="en-AU"/>
        </w:rPr>
        <w:tab/>
        <w:t xml:space="preserve">Available on the ACCC website: </w:t>
      </w:r>
      <w:hyperlink r:id="rId22" w:history="1">
        <w:r w:rsidRPr="0018472C">
          <w:rPr>
            <w:rStyle w:val="Hyperlink"/>
            <w:sz w:val="16"/>
            <w:szCs w:val="16"/>
            <w:lang w:val="en-AU"/>
          </w:rPr>
          <w:t>http://www.accc.gov.au/about-us/australian-competition-consumer-commission/compliance-enforcement-policy</w:t>
        </w:r>
      </w:hyperlink>
      <w:r w:rsidRPr="0018472C">
        <w:rPr>
          <w:rStyle w:val="Hyperlink"/>
          <w:sz w:val="16"/>
          <w:szCs w:val="16"/>
          <w:lang w:val="en-AU"/>
        </w:rPr>
        <w:t>.</w:t>
      </w:r>
    </w:p>
  </w:footnote>
  <w:footnote w:id="47">
    <w:p w:rsidR="002239EF" w:rsidRPr="000B6516" w:rsidRDefault="002239EF" w:rsidP="008323E2">
      <w:pPr>
        <w:pStyle w:val="FootnoteText"/>
        <w:ind w:left="709" w:hanging="709"/>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rPr>
        <w:tab/>
      </w:r>
      <w:r w:rsidRPr="0018472C">
        <w:rPr>
          <w:sz w:val="16"/>
          <w:szCs w:val="16"/>
          <w:lang w:val="en-AU"/>
        </w:rPr>
        <w:t xml:space="preserve">Productivity Commission, </w:t>
      </w:r>
      <w:r w:rsidRPr="0018472C">
        <w:rPr>
          <w:i/>
          <w:sz w:val="16"/>
          <w:szCs w:val="16"/>
          <w:lang w:val="en-AU"/>
        </w:rPr>
        <w:t>Review of Australia’s Consumer Policy Framework, Productivity Commission Inquiry Report, Volume</w:t>
      </w:r>
      <w:r>
        <w:rPr>
          <w:i/>
          <w:sz w:val="16"/>
          <w:szCs w:val="16"/>
          <w:lang w:val="en-AU"/>
        </w:rPr>
        <w:t> </w:t>
      </w:r>
      <w:r w:rsidRPr="0018472C">
        <w:rPr>
          <w:i/>
          <w:sz w:val="16"/>
          <w:szCs w:val="16"/>
          <w:lang w:val="en-AU"/>
        </w:rPr>
        <w:t>2 Chapters and Appendices</w:t>
      </w:r>
      <w:r w:rsidRPr="0018472C">
        <w:rPr>
          <w:sz w:val="16"/>
          <w:szCs w:val="16"/>
          <w:lang w:val="en-AU"/>
        </w:rPr>
        <w:t>, No. 45, 30</w:t>
      </w:r>
      <w:r>
        <w:rPr>
          <w:sz w:val="16"/>
          <w:szCs w:val="16"/>
          <w:lang w:val="en-AU"/>
        </w:rPr>
        <w:t> </w:t>
      </w:r>
      <w:r w:rsidRPr="0018472C">
        <w:rPr>
          <w:sz w:val="16"/>
          <w:szCs w:val="16"/>
          <w:lang w:val="en-AU"/>
        </w:rPr>
        <w:t>April</w:t>
      </w:r>
      <w:r>
        <w:rPr>
          <w:sz w:val="16"/>
          <w:szCs w:val="16"/>
          <w:lang w:val="en-AU"/>
        </w:rPr>
        <w:t> </w:t>
      </w:r>
      <w:r w:rsidRPr="0018472C">
        <w:rPr>
          <w:sz w:val="16"/>
          <w:szCs w:val="16"/>
          <w:lang w:val="en-AU"/>
        </w:rPr>
        <w:t>2008, p.</w:t>
      </w:r>
      <w:r>
        <w:rPr>
          <w:sz w:val="16"/>
          <w:szCs w:val="16"/>
          <w:lang w:val="en-AU"/>
        </w:rPr>
        <w:t> </w:t>
      </w:r>
      <w:r w:rsidRPr="0018472C">
        <w:rPr>
          <w:sz w:val="16"/>
          <w:szCs w:val="16"/>
          <w:lang w:val="en-AU"/>
        </w:rPr>
        <w:t>23</w:t>
      </w:r>
      <w:r>
        <w:rPr>
          <w:sz w:val="16"/>
          <w:szCs w:val="16"/>
          <w:lang w:val="en-AU"/>
        </w:rPr>
        <w:t>, viewed 10 September 2014, &lt;</w:t>
      </w:r>
      <w:hyperlink r:id="rId23" w:history="1">
        <w:r w:rsidRPr="0018472C">
          <w:rPr>
            <w:rStyle w:val="Hyperlink"/>
            <w:sz w:val="16"/>
            <w:szCs w:val="16"/>
            <w:lang w:val="en-AU"/>
          </w:rPr>
          <w:t>http://www.pc.gov.au/__data/assets/pdf_file/0008/79172/consumer2.pdf</w:t>
        </w:r>
      </w:hyperlink>
      <w:r>
        <w:rPr>
          <w:rStyle w:val="Hyperlink"/>
          <w:sz w:val="16"/>
          <w:szCs w:val="16"/>
          <w:lang w:val="en-AU"/>
        </w:rPr>
        <w:t>&gt;</w:t>
      </w:r>
      <w:r w:rsidRPr="0018472C">
        <w:rPr>
          <w:sz w:val="16"/>
          <w:szCs w:val="16"/>
          <w:lang w:val="en-AU"/>
        </w:rPr>
        <w:t>.</w:t>
      </w:r>
    </w:p>
  </w:footnote>
  <w:footnote w:id="48">
    <w:p w:rsidR="002239EF" w:rsidRPr="00611E1A" w:rsidRDefault="002239EF" w:rsidP="00973FE6">
      <w:pPr>
        <w:pStyle w:val="FootnoteText"/>
        <w:ind w:left="709" w:hanging="709"/>
        <w:rPr>
          <w:sz w:val="16"/>
        </w:rPr>
      </w:pPr>
      <w:r w:rsidRPr="000B6516">
        <w:rPr>
          <w:rStyle w:val="FootnoteReference"/>
          <w:sz w:val="16"/>
          <w:szCs w:val="16"/>
        </w:rPr>
        <w:footnoteRef/>
      </w:r>
      <w:r w:rsidRPr="000B6516">
        <w:rPr>
          <w:sz w:val="16"/>
          <w:szCs w:val="16"/>
        </w:rPr>
        <w:t xml:space="preserve"> </w:t>
      </w:r>
      <w:r w:rsidRPr="000B6516">
        <w:rPr>
          <w:sz w:val="16"/>
          <w:szCs w:val="16"/>
        </w:rPr>
        <w:tab/>
      </w:r>
      <w:r w:rsidRPr="00D56518">
        <w:rPr>
          <w:i/>
          <w:sz w:val="16"/>
          <w:szCs w:val="16"/>
        </w:rPr>
        <w:t>The Australian Government Guide to Regulation</w:t>
      </w:r>
      <w:r w:rsidRPr="000B6516">
        <w:rPr>
          <w:sz w:val="16"/>
          <w:szCs w:val="16"/>
        </w:rPr>
        <w:t xml:space="preserve"> defines an offset to be ‘A reduction in existing regulatory burden to ensure the regulatory cost of new regulation is negated’.</w:t>
      </w:r>
      <w:r>
        <w:rPr>
          <w:sz w:val="16"/>
          <w:szCs w:val="16"/>
        </w:rPr>
        <w:t xml:space="preserve"> The ACCC falls under The Treasury portfolio.</w:t>
      </w:r>
    </w:p>
  </w:footnote>
  <w:footnote w:id="49">
    <w:p w:rsidR="002239EF" w:rsidRPr="0018472C" w:rsidRDefault="002239EF" w:rsidP="00FB3CFF">
      <w:pPr>
        <w:pStyle w:val="FootnoteText"/>
        <w:ind w:left="709" w:hanging="709"/>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lang w:val="en-AU"/>
        </w:rPr>
        <w:tab/>
        <w:t>The Australian Consumer Law and Your Safety,</w:t>
      </w:r>
      <w:r>
        <w:rPr>
          <w:sz w:val="16"/>
          <w:szCs w:val="16"/>
          <w:lang w:val="en-AU"/>
        </w:rPr>
        <w:t xml:space="preserve"> viewed 8 July 2014,</w:t>
      </w:r>
      <w:r w:rsidRPr="0018472C">
        <w:rPr>
          <w:sz w:val="16"/>
          <w:szCs w:val="16"/>
          <w:lang w:val="en-AU"/>
        </w:rPr>
        <w:t xml:space="preserve"> </w:t>
      </w:r>
      <w:hyperlink r:id="rId24" w:history="1">
        <w:r w:rsidRPr="0018472C">
          <w:rPr>
            <w:rStyle w:val="Hyperlink"/>
            <w:sz w:val="16"/>
            <w:szCs w:val="16"/>
            <w:lang w:val="en-AU"/>
          </w:rPr>
          <w:t>http://www.consumerlaw.gov.au/content/Content.aspx?doc=fact_sheets/safety.htm</w:t>
        </w:r>
      </w:hyperlink>
      <w:r w:rsidRPr="0018472C">
        <w:rPr>
          <w:sz w:val="16"/>
          <w:szCs w:val="16"/>
          <w:lang w:val="en-AU"/>
        </w:rPr>
        <w:t>.</w:t>
      </w:r>
    </w:p>
  </w:footnote>
  <w:footnote w:id="50">
    <w:p w:rsidR="002239EF" w:rsidRPr="00560F8D" w:rsidRDefault="002239EF" w:rsidP="00FB3CFF">
      <w:pPr>
        <w:pStyle w:val="FootnoteText"/>
        <w:ind w:left="709" w:hanging="709"/>
        <w:rPr>
          <w:lang w:val="en-AU"/>
        </w:rPr>
      </w:pPr>
      <w:r w:rsidRPr="0018472C">
        <w:rPr>
          <w:rStyle w:val="FootnoteReference"/>
          <w:sz w:val="16"/>
          <w:szCs w:val="16"/>
        </w:rPr>
        <w:footnoteRef/>
      </w:r>
      <w:r w:rsidRPr="0018472C">
        <w:rPr>
          <w:sz w:val="16"/>
          <w:szCs w:val="16"/>
        </w:rPr>
        <w:t xml:space="preserve"> </w:t>
      </w:r>
      <w:r w:rsidRPr="0018472C">
        <w:rPr>
          <w:sz w:val="16"/>
          <w:szCs w:val="16"/>
        </w:rPr>
        <w:tab/>
      </w:r>
      <w:r w:rsidRPr="0018472C">
        <w:rPr>
          <w:sz w:val="16"/>
          <w:szCs w:val="16"/>
          <w:lang w:val="en-AU"/>
        </w:rPr>
        <w:t xml:space="preserve">Productivity Commission, </w:t>
      </w:r>
      <w:r w:rsidRPr="0018472C">
        <w:rPr>
          <w:i/>
          <w:sz w:val="16"/>
          <w:szCs w:val="16"/>
          <w:lang w:val="en-AU"/>
        </w:rPr>
        <w:t>Review of Australia’s Consumer Policy Framework, Productivity Commission Inquiry Report, Volume</w:t>
      </w:r>
      <w:r>
        <w:rPr>
          <w:i/>
          <w:sz w:val="16"/>
          <w:szCs w:val="16"/>
          <w:lang w:val="en-AU"/>
        </w:rPr>
        <w:t> </w:t>
      </w:r>
      <w:r w:rsidRPr="0018472C">
        <w:rPr>
          <w:i/>
          <w:sz w:val="16"/>
          <w:szCs w:val="16"/>
          <w:lang w:val="en-AU"/>
        </w:rPr>
        <w:t>2 Chapters and Appendices</w:t>
      </w:r>
      <w:r w:rsidRPr="0018472C">
        <w:rPr>
          <w:sz w:val="16"/>
          <w:szCs w:val="16"/>
          <w:lang w:val="en-AU"/>
        </w:rPr>
        <w:t>, No. 45, 30</w:t>
      </w:r>
      <w:r>
        <w:rPr>
          <w:sz w:val="16"/>
          <w:szCs w:val="16"/>
          <w:lang w:val="en-AU"/>
        </w:rPr>
        <w:t> </w:t>
      </w:r>
      <w:r w:rsidRPr="0018472C">
        <w:rPr>
          <w:sz w:val="16"/>
          <w:szCs w:val="16"/>
          <w:lang w:val="en-AU"/>
        </w:rPr>
        <w:t>April</w:t>
      </w:r>
      <w:r>
        <w:rPr>
          <w:sz w:val="16"/>
          <w:szCs w:val="16"/>
          <w:lang w:val="en-AU"/>
        </w:rPr>
        <w:t> </w:t>
      </w:r>
      <w:r w:rsidRPr="0018472C">
        <w:rPr>
          <w:sz w:val="16"/>
          <w:szCs w:val="16"/>
          <w:lang w:val="en-AU"/>
        </w:rPr>
        <w:t>2008, pp.</w:t>
      </w:r>
      <w:r>
        <w:rPr>
          <w:sz w:val="16"/>
          <w:szCs w:val="16"/>
          <w:lang w:val="en-AU"/>
        </w:rPr>
        <w:t> </w:t>
      </w:r>
      <w:r w:rsidRPr="0018472C">
        <w:rPr>
          <w:sz w:val="16"/>
          <w:szCs w:val="16"/>
          <w:lang w:val="en-AU"/>
        </w:rPr>
        <w:t>176-177.</w:t>
      </w:r>
    </w:p>
  </w:footnote>
  <w:footnote w:id="51">
    <w:p w:rsidR="002239EF" w:rsidRPr="0018472C" w:rsidRDefault="002239EF" w:rsidP="00594E2C">
      <w:pPr>
        <w:pStyle w:val="FootnoteText"/>
        <w:rPr>
          <w:sz w:val="16"/>
          <w:szCs w:val="16"/>
          <w:lang w:val="en-AU"/>
        </w:rPr>
      </w:pPr>
      <w:r w:rsidRPr="0018472C">
        <w:rPr>
          <w:rStyle w:val="FootnoteReference"/>
          <w:sz w:val="16"/>
          <w:szCs w:val="16"/>
        </w:rPr>
        <w:footnoteRef/>
      </w:r>
      <w:r w:rsidRPr="0018472C">
        <w:rPr>
          <w:sz w:val="16"/>
          <w:szCs w:val="16"/>
        </w:rPr>
        <w:tab/>
      </w:r>
      <w:r>
        <w:rPr>
          <w:sz w:val="16"/>
          <w:szCs w:val="16"/>
        </w:rPr>
        <w:t>Maximum p</w:t>
      </w:r>
      <w:r w:rsidRPr="0018472C">
        <w:rPr>
          <w:sz w:val="16"/>
          <w:szCs w:val="16"/>
        </w:rPr>
        <w:t>enalties are $1.1</w:t>
      </w:r>
      <w:r>
        <w:rPr>
          <w:sz w:val="16"/>
          <w:szCs w:val="16"/>
        </w:rPr>
        <w:t> </w:t>
      </w:r>
      <w:r w:rsidRPr="0018472C">
        <w:rPr>
          <w:sz w:val="16"/>
          <w:szCs w:val="16"/>
        </w:rPr>
        <w:t>million for a corporation and $220 000 for an individual.</w:t>
      </w:r>
    </w:p>
  </w:footnote>
  <w:footnote w:id="52">
    <w:p w:rsidR="002239EF" w:rsidRPr="00EB5DC9" w:rsidRDefault="002239EF" w:rsidP="00F57230">
      <w:pPr>
        <w:pStyle w:val="FootnoteText"/>
        <w:ind w:left="709" w:hanging="709"/>
        <w:rPr>
          <w:lang w:val="en-AU"/>
        </w:rPr>
      </w:pPr>
      <w:r w:rsidRPr="001B7101">
        <w:rPr>
          <w:rStyle w:val="FootnoteReference"/>
          <w:sz w:val="16"/>
          <w:szCs w:val="16"/>
        </w:rPr>
        <w:footnoteRef/>
      </w:r>
      <w:r>
        <w:tab/>
      </w:r>
      <w:r w:rsidRPr="00C60091">
        <w:rPr>
          <w:sz w:val="16"/>
          <w:szCs w:val="16"/>
          <w:lang w:val="en-AU"/>
        </w:rPr>
        <w:t>Europe has regulated these dyes since</w:t>
      </w:r>
      <w:r>
        <w:rPr>
          <w:sz w:val="16"/>
          <w:szCs w:val="16"/>
          <w:lang w:val="en-AU"/>
        </w:rPr>
        <w:t> </w:t>
      </w:r>
      <w:r w:rsidRPr="00C60091">
        <w:rPr>
          <w:sz w:val="16"/>
          <w:szCs w:val="16"/>
          <w:lang w:val="en-AU"/>
        </w:rPr>
        <w:t>2003, and non-compliance is still detected during surveys</w:t>
      </w:r>
      <w:r>
        <w:rPr>
          <w:sz w:val="16"/>
          <w:szCs w:val="16"/>
          <w:lang w:val="en-AU"/>
        </w:rPr>
        <w:t xml:space="preserve"> - see discussion in </w:t>
      </w:r>
      <w:r w:rsidRPr="009278D5">
        <w:rPr>
          <w:sz w:val="16"/>
          <w:szCs w:val="16"/>
        </w:rPr>
        <w:t>Section</w:t>
      </w:r>
      <w:r>
        <w:rPr>
          <w:sz w:val="16"/>
          <w:szCs w:val="16"/>
          <w:lang w:val="en-AU"/>
        </w:rPr>
        <w:t> 2.</w:t>
      </w:r>
    </w:p>
  </w:footnote>
  <w:footnote w:id="53">
    <w:p w:rsidR="002239EF" w:rsidRPr="0018472C" w:rsidRDefault="002239EF" w:rsidP="00B17325">
      <w:pPr>
        <w:pStyle w:val="FootnoteText"/>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lang w:val="en-AU"/>
        </w:rPr>
        <w:tab/>
        <w:t>Based on ACCC discussions with clothing and textile suppliers.</w:t>
      </w:r>
    </w:p>
  </w:footnote>
  <w:footnote w:id="54">
    <w:p w:rsidR="002239EF" w:rsidRPr="00FB4694" w:rsidRDefault="002239EF" w:rsidP="00E0764F">
      <w:pPr>
        <w:pStyle w:val="FootnoteText"/>
        <w:ind w:left="709" w:hanging="709"/>
        <w:rPr>
          <w:sz w:val="16"/>
          <w:szCs w:val="16"/>
          <w:lang w:val="en-AU"/>
        </w:rPr>
      </w:pPr>
      <w:r w:rsidRPr="00D330EE">
        <w:rPr>
          <w:rStyle w:val="FootnoteReference"/>
          <w:sz w:val="16"/>
          <w:szCs w:val="16"/>
        </w:rPr>
        <w:footnoteRef/>
      </w:r>
      <w:r>
        <w:t xml:space="preserve"> </w:t>
      </w:r>
      <w:r>
        <w:rPr>
          <w:lang w:val="en-AU"/>
        </w:rPr>
        <w:tab/>
      </w:r>
      <w:r w:rsidRPr="00FB4694">
        <w:rPr>
          <w:sz w:val="16"/>
          <w:szCs w:val="16"/>
          <w:lang w:val="en-AU"/>
        </w:rPr>
        <w:t xml:space="preserve">Department of Prime Minister and Cabinet, Office of Best Practice Regulation, Regulatory Burden Measurement Framework Guidance Note, July 2014, p. 5, available: </w:t>
      </w:r>
      <w:hyperlink r:id="rId25" w:history="1">
        <w:r w:rsidRPr="00FB4694">
          <w:rPr>
            <w:rStyle w:val="Hyperlink"/>
            <w:sz w:val="16"/>
            <w:szCs w:val="16"/>
            <w:lang w:val="en-AU"/>
          </w:rPr>
          <w:t>https://www.dpmc.gov.au/deregulation/obpr/reporting-publications/publications/guidance/docs/005_Regulatory_Burden_Measurement_Framework.pdf</w:t>
        </w:r>
      </w:hyperlink>
    </w:p>
  </w:footnote>
  <w:footnote w:id="55">
    <w:p w:rsidR="002239EF" w:rsidRPr="00D330EE" w:rsidRDefault="002239EF" w:rsidP="00D330EE">
      <w:pPr>
        <w:pStyle w:val="FootnoteText"/>
        <w:ind w:left="709" w:hanging="709"/>
        <w:rPr>
          <w:lang w:val="en-AU"/>
        </w:rPr>
      </w:pPr>
      <w:r w:rsidRPr="00D330EE">
        <w:rPr>
          <w:rStyle w:val="FootnoteReference"/>
          <w:sz w:val="16"/>
          <w:szCs w:val="16"/>
        </w:rPr>
        <w:footnoteRef/>
      </w:r>
      <w:r>
        <w:t xml:space="preserve"> </w:t>
      </w:r>
      <w:r>
        <w:rPr>
          <w:lang w:val="en-AU"/>
        </w:rPr>
        <w:tab/>
      </w:r>
      <w:r w:rsidRPr="00D330EE">
        <w:rPr>
          <w:sz w:val="16"/>
          <w:szCs w:val="16"/>
          <w:lang w:val="en-AU"/>
        </w:rPr>
        <w:t xml:space="preserve">Department of Prime Minister and Cabinet, Office of Best Practice Regulation, Guidance Note, </w:t>
      </w:r>
      <w:r w:rsidRPr="00D330EE">
        <w:rPr>
          <w:i/>
          <w:sz w:val="16"/>
          <w:szCs w:val="16"/>
          <w:lang w:val="en-AU"/>
        </w:rPr>
        <w:t>Regulatory Burden Measurement Framework</w:t>
      </w:r>
      <w:r>
        <w:rPr>
          <w:sz w:val="16"/>
          <w:szCs w:val="16"/>
          <w:lang w:val="en-AU"/>
        </w:rPr>
        <w:t xml:space="preserve">, July 2014, p. 5. Available: </w:t>
      </w:r>
      <w:hyperlink r:id="rId26" w:history="1">
        <w:r w:rsidRPr="0023584C">
          <w:rPr>
            <w:rStyle w:val="Hyperlink"/>
            <w:sz w:val="16"/>
            <w:szCs w:val="16"/>
            <w:lang w:val="en-AU"/>
          </w:rPr>
          <w:t>https://www.dpmc.gov.au/deregulation/obpr/reporting-publications/publications.cfm</w:t>
        </w:r>
      </w:hyperlink>
      <w:r>
        <w:rPr>
          <w:sz w:val="16"/>
          <w:szCs w:val="16"/>
          <w:lang w:val="en-AU"/>
        </w:rPr>
        <w:t>.</w:t>
      </w:r>
    </w:p>
  </w:footnote>
  <w:footnote w:id="56">
    <w:p w:rsidR="002239EF" w:rsidRPr="0018472C" w:rsidRDefault="002239EF" w:rsidP="002E0352">
      <w:pPr>
        <w:pStyle w:val="FootnoteText"/>
        <w:ind w:left="709" w:hanging="709"/>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rPr>
        <w:tab/>
      </w:r>
      <w:r w:rsidRPr="0018472C">
        <w:rPr>
          <w:i/>
          <w:sz w:val="16"/>
          <w:szCs w:val="16"/>
          <w:lang w:val="en-AU"/>
        </w:rPr>
        <w:t xml:space="preserve">The Australian Government Guide to Regulation, </w:t>
      </w:r>
      <w:r w:rsidRPr="0018472C">
        <w:rPr>
          <w:sz w:val="16"/>
          <w:szCs w:val="16"/>
          <w:lang w:val="en-AU"/>
        </w:rPr>
        <w:t>p. 48</w:t>
      </w:r>
      <w:r w:rsidRPr="0018472C">
        <w:rPr>
          <w:rStyle w:val="Hyperlink"/>
          <w:sz w:val="16"/>
          <w:szCs w:val="16"/>
          <w:lang w:val="en-AU"/>
        </w:rPr>
        <w:t>.</w:t>
      </w:r>
    </w:p>
  </w:footnote>
  <w:footnote w:id="57">
    <w:p w:rsidR="002239EF" w:rsidRPr="009D62BC" w:rsidRDefault="002239EF" w:rsidP="00BB12AF">
      <w:pPr>
        <w:pStyle w:val="FootnoteText"/>
        <w:ind w:left="709" w:hanging="709"/>
        <w:rPr>
          <w:lang w:val="en-AU"/>
        </w:rPr>
      </w:pPr>
      <w:r w:rsidRPr="0018472C">
        <w:rPr>
          <w:rStyle w:val="FootnoteReference"/>
          <w:sz w:val="16"/>
          <w:szCs w:val="16"/>
        </w:rPr>
        <w:footnoteRef/>
      </w:r>
      <w:r w:rsidRPr="0018472C">
        <w:rPr>
          <w:sz w:val="16"/>
          <w:szCs w:val="16"/>
        </w:rPr>
        <w:t xml:space="preserve"> </w:t>
      </w:r>
      <w:r w:rsidRPr="0018472C">
        <w:rPr>
          <w:sz w:val="16"/>
          <w:szCs w:val="16"/>
          <w:lang w:val="en-AU"/>
        </w:rPr>
        <w:tab/>
        <w:t xml:space="preserve">Regulation </w:t>
      </w:r>
      <w:r>
        <w:rPr>
          <w:sz w:val="16"/>
          <w:szCs w:val="16"/>
          <w:lang w:val="en-AU"/>
        </w:rPr>
        <w:t>(</w:t>
      </w:r>
      <w:r w:rsidRPr="0018472C">
        <w:rPr>
          <w:sz w:val="16"/>
          <w:szCs w:val="16"/>
          <w:lang w:val="en-AU"/>
        </w:rPr>
        <w:t>EC</w:t>
      </w:r>
      <w:r>
        <w:rPr>
          <w:sz w:val="16"/>
          <w:szCs w:val="16"/>
          <w:lang w:val="en-AU"/>
        </w:rPr>
        <w:t>) </w:t>
      </w:r>
      <w:r w:rsidRPr="0018472C">
        <w:rPr>
          <w:sz w:val="16"/>
          <w:szCs w:val="16"/>
          <w:lang w:val="en-AU"/>
        </w:rPr>
        <w:t xml:space="preserve">1907/2006 is available online: </w:t>
      </w:r>
      <w:hyperlink r:id="rId27" w:history="1">
        <w:r w:rsidRPr="0018472C">
          <w:rPr>
            <w:rStyle w:val="Hyperlink"/>
            <w:sz w:val="16"/>
            <w:szCs w:val="16"/>
            <w:lang w:val="en-AU"/>
          </w:rPr>
          <w:t>http://eur-lex.europa.eu/legal-content/EN/TXT/PDF/?uri=CELEX:32006R1907&amp;from=en</w:t>
        </w:r>
      </w:hyperlink>
      <w:r w:rsidRPr="0018472C">
        <w:rPr>
          <w:rStyle w:val="Hyperlink"/>
          <w:sz w:val="16"/>
          <w:szCs w:val="16"/>
          <w:lang w:val="en-AU"/>
        </w:rPr>
        <w:t>.</w:t>
      </w:r>
    </w:p>
  </w:footnote>
  <w:footnote w:id="58">
    <w:p w:rsidR="002239EF" w:rsidRPr="00502B5F" w:rsidRDefault="002239EF" w:rsidP="00EF1EA3">
      <w:pPr>
        <w:pStyle w:val="FootnoteText"/>
        <w:ind w:left="709" w:hanging="709"/>
        <w:rPr>
          <w:lang w:val="en-AU"/>
        </w:rPr>
      </w:pPr>
      <w:r w:rsidRPr="000B6516">
        <w:rPr>
          <w:rStyle w:val="FootnoteReference"/>
          <w:rFonts w:cs="Arial"/>
          <w:sz w:val="16"/>
          <w:szCs w:val="16"/>
        </w:rPr>
        <w:footnoteRef/>
      </w:r>
      <w:r w:rsidRPr="000B6516">
        <w:rPr>
          <w:rFonts w:cs="Arial"/>
          <w:sz w:val="16"/>
          <w:szCs w:val="16"/>
        </w:rPr>
        <w:t xml:space="preserve"> </w:t>
      </w:r>
      <w:r w:rsidRPr="000B6516">
        <w:rPr>
          <w:rFonts w:cs="Arial"/>
          <w:sz w:val="16"/>
          <w:szCs w:val="16"/>
          <w:lang w:val="en-AU"/>
        </w:rPr>
        <w:tab/>
      </w:r>
      <w:r w:rsidRPr="000B6516">
        <w:rPr>
          <w:rFonts w:cs="Arial"/>
          <w:color w:val="000000"/>
          <w:sz w:val="16"/>
          <w:szCs w:val="16"/>
          <w:lang w:val="en-AU"/>
        </w:rPr>
        <w:t xml:space="preserve">The Parliament of the Commonwealth of Australia, Senate, </w:t>
      </w:r>
      <w:r w:rsidRPr="002B4DAC">
        <w:rPr>
          <w:rFonts w:cs="Arial"/>
          <w:i/>
          <w:color w:val="000000"/>
          <w:sz w:val="16"/>
          <w:szCs w:val="16"/>
          <w:lang w:val="en-AU"/>
        </w:rPr>
        <w:t>Trade Practices Act Amendment Bill</w:t>
      </w:r>
      <w:r>
        <w:rPr>
          <w:rFonts w:cs="Arial"/>
          <w:i/>
          <w:color w:val="000000"/>
          <w:sz w:val="16"/>
          <w:szCs w:val="16"/>
          <w:lang w:val="en-AU"/>
        </w:rPr>
        <w:t> </w:t>
      </w:r>
      <w:r w:rsidRPr="002B4DAC">
        <w:rPr>
          <w:rFonts w:cs="Arial"/>
          <w:i/>
          <w:color w:val="000000"/>
          <w:sz w:val="16"/>
          <w:szCs w:val="16"/>
          <w:lang w:val="en-AU"/>
        </w:rPr>
        <w:t>1992, Explanatory Memorandum</w:t>
      </w:r>
      <w:r w:rsidRPr="000B6516">
        <w:rPr>
          <w:rFonts w:cs="Arial"/>
          <w:color w:val="000000"/>
          <w:sz w:val="16"/>
          <w:szCs w:val="16"/>
          <w:lang w:val="en-AU"/>
        </w:rPr>
        <w:t>, p.</w:t>
      </w:r>
      <w:r>
        <w:rPr>
          <w:rFonts w:cs="Arial"/>
          <w:color w:val="000000"/>
          <w:sz w:val="16"/>
          <w:szCs w:val="16"/>
          <w:lang w:val="en-AU"/>
        </w:rPr>
        <w:t> </w:t>
      </w:r>
      <w:r w:rsidRPr="000B6516">
        <w:rPr>
          <w:rFonts w:cs="Arial"/>
          <w:color w:val="000000"/>
          <w:sz w:val="16"/>
          <w:szCs w:val="16"/>
          <w:lang w:val="en-AU"/>
        </w:rPr>
        <w:t>2.</w:t>
      </w:r>
    </w:p>
  </w:footnote>
  <w:footnote w:id="59">
    <w:p w:rsidR="002239EF" w:rsidRPr="000B6516" w:rsidRDefault="002239EF" w:rsidP="00EF1EA3">
      <w:pPr>
        <w:pStyle w:val="FootnoteText"/>
        <w:ind w:left="709" w:hanging="709"/>
        <w:rPr>
          <w:sz w:val="16"/>
          <w:szCs w:val="16"/>
          <w:lang w:val="en-AU"/>
        </w:rPr>
      </w:pPr>
      <w:r w:rsidRPr="000B6516">
        <w:rPr>
          <w:rStyle w:val="FootnoteReference"/>
          <w:sz w:val="16"/>
          <w:szCs w:val="16"/>
        </w:rPr>
        <w:footnoteRef/>
      </w:r>
      <w:r w:rsidRPr="000B6516">
        <w:rPr>
          <w:sz w:val="16"/>
          <w:szCs w:val="16"/>
        </w:rPr>
        <w:t xml:space="preserve"> </w:t>
      </w:r>
      <w:r w:rsidRPr="000B6516">
        <w:rPr>
          <w:sz w:val="16"/>
          <w:szCs w:val="16"/>
        </w:rPr>
        <w:tab/>
      </w:r>
      <w:r>
        <w:rPr>
          <w:sz w:val="16"/>
          <w:szCs w:val="16"/>
        </w:rPr>
        <w:t>ibid</w:t>
      </w:r>
      <w:r w:rsidRPr="000B6516">
        <w:rPr>
          <w:color w:val="000000"/>
          <w:sz w:val="16"/>
          <w:szCs w:val="16"/>
          <w:lang w:val="en-AU"/>
        </w:rPr>
        <w:t>.</w:t>
      </w:r>
    </w:p>
  </w:footnote>
  <w:footnote w:id="60">
    <w:p w:rsidR="002239EF" w:rsidRPr="00F80266" w:rsidRDefault="002239EF" w:rsidP="00EF1EA3">
      <w:pPr>
        <w:pStyle w:val="FootnoteText"/>
        <w:ind w:left="709" w:hanging="709"/>
        <w:rPr>
          <w:rFonts w:cs="Arial"/>
          <w:color w:val="000000"/>
          <w:sz w:val="16"/>
          <w:szCs w:val="16"/>
          <w:lang w:val="en-AU"/>
        </w:rPr>
      </w:pPr>
      <w:r w:rsidRPr="000B6516">
        <w:rPr>
          <w:rStyle w:val="FootnoteReference"/>
          <w:sz w:val="16"/>
          <w:szCs w:val="16"/>
        </w:rPr>
        <w:footnoteRef/>
      </w:r>
      <w:r w:rsidRPr="000B6516">
        <w:rPr>
          <w:sz w:val="16"/>
          <w:szCs w:val="16"/>
        </w:rPr>
        <w:t xml:space="preserve"> </w:t>
      </w:r>
      <w:r w:rsidRPr="000B6516">
        <w:rPr>
          <w:sz w:val="16"/>
          <w:szCs w:val="16"/>
          <w:lang w:val="en-AU"/>
        </w:rPr>
        <w:tab/>
      </w:r>
      <w:r>
        <w:rPr>
          <w:sz w:val="16"/>
          <w:szCs w:val="16"/>
          <w:lang w:val="en-AU"/>
        </w:rPr>
        <w:t>ibid.,</w:t>
      </w:r>
      <w:r w:rsidRPr="00F80266">
        <w:rPr>
          <w:rFonts w:cs="Arial"/>
          <w:color w:val="000000"/>
          <w:sz w:val="16"/>
          <w:szCs w:val="16"/>
          <w:lang w:val="en-AU"/>
        </w:rPr>
        <w:t xml:space="preserve"> p.</w:t>
      </w:r>
      <w:r>
        <w:rPr>
          <w:rFonts w:cs="Arial"/>
          <w:color w:val="000000"/>
          <w:sz w:val="16"/>
          <w:szCs w:val="16"/>
          <w:lang w:val="en-AU"/>
        </w:rPr>
        <w:t> </w:t>
      </w:r>
      <w:r w:rsidRPr="00F80266">
        <w:rPr>
          <w:rFonts w:cs="Arial"/>
          <w:color w:val="000000"/>
          <w:sz w:val="16"/>
          <w:szCs w:val="16"/>
          <w:lang w:val="en-AU"/>
        </w:rPr>
        <w:t>3.</w:t>
      </w:r>
    </w:p>
  </w:footnote>
  <w:footnote w:id="61">
    <w:p w:rsidR="002239EF" w:rsidRPr="003D1706" w:rsidRDefault="002239EF" w:rsidP="00EF1EA3">
      <w:pPr>
        <w:autoSpaceDE w:val="0"/>
        <w:autoSpaceDN w:val="0"/>
        <w:adjustRightInd w:val="0"/>
        <w:ind w:left="709" w:hanging="709"/>
        <w:rPr>
          <w:sz w:val="16"/>
          <w:szCs w:val="16"/>
        </w:rPr>
      </w:pPr>
      <w:r w:rsidRPr="00485ECA">
        <w:rPr>
          <w:rStyle w:val="FootnoteReference"/>
          <w:rFonts w:ascii="Arial" w:hAnsi="Arial" w:cs="Arial"/>
          <w:color w:val="000000"/>
          <w:sz w:val="16"/>
          <w:szCs w:val="16"/>
        </w:rPr>
        <w:footnoteRef/>
      </w:r>
      <w:r w:rsidRPr="00485ECA">
        <w:rPr>
          <w:rFonts w:ascii="Arial" w:hAnsi="Arial" w:cs="Arial"/>
          <w:color w:val="000000"/>
          <w:sz w:val="16"/>
          <w:szCs w:val="16"/>
        </w:rPr>
        <w:t xml:space="preserve"> </w:t>
      </w:r>
      <w:r w:rsidRPr="00485ECA">
        <w:rPr>
          <w:rFonts w:ascii="Arial" w:hAnsi="Arial" w:cs="Arial"/>
          <w:color w:val="000000"/>
          <w:sz w:val="16"/>
          <w:szCs w:val="16"/>
        </w:rPr>
        <w:tab/>
        <w:t xml:space="preserve">The </w:t>
      </w:r>
      <w:r w:rsidRPr="00485ECA">
        <w:rPr>
          <w:rFonts w:ascii="Arial" w:hAnsi="Arial" w:cs="Arial"/>
          <w:color w:val="000000"/>
          <w:sz w:val="16"/>
          <w:szCs w:val="16"/>
          <w:lang w:eastAsia="en-AU"/>
        </w:rPr>
        <w:t>Ministerial Council on Consumer Affairs</w:t>
      </w:r>
      <w:r w:rsidRPr="00485ECA">
        <w:rPr>
          <w:rFonts w:ascii="Arial" w:hAnsi="Arial" w:cs="Arial"/>
          <w:bCs/>
          <w:color w:val="000000"/>
          <w:sz w:val="16"/>
          <w:szCs w:val="16"/>
          <w:lang w:eastAsia="en-AU"/>
        </w:rPr>
        <w:t xml:space="preserve">, </w:t>
      </w:r>
      <w:r w:rsidRPr="002B4DAC">
        <w:rPr>
          <w:rFonts w:ascii="Arial" w:hAnsi="Arial" w:cs="Arial"/>
          <w:bCs/>
          <w:i/>
          <w:color w:val="000000"/>
          <w:sz w:val="16"/>
          <w:szCs w:val="16"/>
          <w:lang w:eastAsia="en-AU"/>
        </w:rPr>
        <w:t>Review of the Australian Consumer Product Safety System</w:t>
      </w:r>
      <w:r w:rsidRPr="00485ECA">
        <w:rPr>
          <w:rFonts w:ascii="Arial" w:hAnsi="Arial" w:cs="Arial"/>
          <w:bCs/>
          <w:color w:val="000000"/>
          <w:sz w:val="16"/>
          <w:szCs w:val="16"/>
          <w:lang w:eastAsia="en-AU"/>
        </w:rPr>
        <w:t>, August</w:t>
      </w:r>
      <w:r>
        <w:rPr>
          <w:rFonts w:ascii="Arial" w:hAnsi="Arial" w:cs="Arial"/>
          <w:bCs/>
          <w:color w:val="000000"/>
          <w:sz w:val="16"/>
          <w:szCs w:val="16"/>
          <w:lang w:eastAsia="en-AU"/>
        </w:rPr>
        <w:t> </w:t>
      </w:r>
      <w:r w:rsidRPr="00485ECA">
        <w:rPr>
          <w:rFonts w:ascii="Arial" w:hAnsi="Arial" w:cs="Arial"/>
          <w:bCs/>
          <w:color w:val="000000"/>
          <w:sz w:val="16"/>
          <w:szCs w:val="16"/>
          <w:lang w:eastAsia="en-AU"/>
        </w:rPr>
        <w:t>2005, p.</w:t>
      </w:r>
      <w:r>
        <w:rPr>
          <w:rFonts w:ascii="Arial" w:hAnsi="Arial" w:cs="Arial"/>
          <w:bCs/>
          <w:color w:val="000000"/>
          <w:sz w:val="16"/>
          <w:szCs w:val="16"/>
          <w:lang w:eastAsia="en-AU"/>
        </w:rPr>
        <w:t> </w:t>
      </w:r>
      <w:r w:rsidRPr="00485ECA">
        <w:rPr>
          <w:rFonts w:ascii="Arial" w:hAnsi="Arial" w:cs="Arial"/>
          <w:bCs/>
          <w:color w:val="000000"/>
          <w:sz w:val="16"/>
          <w:szCs w:val="16"/>
          <w:lang w:eastAsia="en-AU"/>
        </w:rPr>
        <w:t>5.</w:t>
      </w:r>
    </w:p>
  </w:footnote>
  <w:footnote w:id="62">
    <w:p w:rsidR="002239EF" w:rsidRPr="003D1706" w:rsidRDefault="002239EF" w:rsidP="00EF1EA3">
      <w:pPr>
        <w:pStyle w:val="FootnoteText"/>
        <w:rPr>
          <w:sz w:val="16"/>
          <w:lang w:val="en-AU"/>
        </w:rPr>
      </w:pPr>
      <w:r w:rsidRPr="003D1706">
        <w:rPr>
          <w:rStyle w:val="FootnoteReference"/>
          <w:sz w:val="16"/>
        </w:rPr>
        <w:footnoteRef/>
      </w:r>
      <w:r w:rsidRPr="003D1706">
        <w:rPr>
          <w:sz w:val="16"/>
        </w:rPr>
        <w:t xml:space="preserve"> </w:t>
      </w:r>
      <w:r>
        <w:rPr>
          <w:sz w:val="16"/>
          <w:lang w:val="en-AU"/>
        </w:rPr>
        <w:tab/>
        <w:t>ibid.,</w:t>
      </w:r>
      <w:r w:rsidRPr="003D1706">
        <w:rPr>
          <w:sz w:val="16"/>
          <w:lang w:val="en-AU"/>
        </w:rPr>
        <w:t xml:space="preserve"> p</w:t>
      </w:r>
      <w:r>
        <w:rPr>
          <w:sz w:val="16"/>
          <w:lang w:val="en-AU"/>
        </w:rPr>
        <w:t>. </w:t>
      </w:r>
      <w:r w:rsidRPr="003D1706">
        <w:rPr>
          <w:sz w:val="16"/>
          <w:lang w:val="en-AU"/>
        </w:rPr>
        <w:t>17.</w:t>
      </w:r>
    </w:p>
  </w:footnote>
  <w:footnote w:id="63">
    <w:p w:rsidR="002239EF" w:rsidRPr="003D1706" w:rsidRDefault="002239EF" w:rsidP="00EF1EA3">
      <w:pPr>
        <w:pStyle w:val="FootnoteText"/>
        <w:rPr>
          <w:lang w:val="en-AU"/>
        </w:rPr>
      </w:pPr>
      <w:r w:rsidRPr="003D1706">
        <w:rPr>
          <w:rStyle w:val="FootnoteReference"/>
          <w:sz w:val="16"/>
        </w:rPr>
        <w:footnoteRef/>
      </w:r>
      <w:r w:rsidRPr="003D1706">
        <w:rPr>
          <w:sz w:val="16"/>
        </w:rPr>
        <w:t xml:space="preserve"> </w:t>
      </w:r>
      <w:r w:rsidRPr="003D1706">
        <w:rPr>
          <w:sz w:val="16"/>
        </w:rPr>
        <w:tab/>
      </w:r>
      <w:r>
        <w:rPr>
          <w:sz w:val="16"/>
        </w:rPr>
        <w:t>i</w:t>
      </w:r>
      <w:r>
        <w:rPr>
          <w:sz w:val="16"/>
          <w:lang w:val="en-AU"/>
        </w:rPr>
        <w:t>bid.,</w:t>
      </w:r>
      <w:r w:rsidRPr="003D1706">
        <w:rPr>
          <w:sz w:val="16"/>
          <w:lang w:val="en-AU"/>
        </w:rPr>
        <w:t xml:space="preserve"> p</w:t>
      </w:r>
      <w:r>
        <w:rPr>
          <w:sz w:val="16"/>
          <w:lang w:val="en-AU"/>
        </w:rPr>
        <w:t>p. </w:t>
      </w:r>
      <w:r w:rsidRPr="003D1706">
        <w:rPr>
          <w:sz w:val="16"/>
          <w:lang w:val="en-AU"/>
        </w:rPr>
        <w:t>17-35.</w:t>
      </w:r>
    </w:p>
  </w:footnote>
  <w:footnote w:id="64">
    <w:p w:rsidR="002239EF" w:rsidRPr="009B313C" w:rsidRDefault="002239EF" w:rsidP="00EF1EA3">
      <w:pPr>
        <w:autoSpaceDE w:val="0"/>
        <w:autoSpaceDN w:val="0"/>
        <w:adjustRightInd w:val="0"/>
        <w:ind w:left="709" w:hanging="709"/>
        <w:rPr>
          <w:rFonts w:ascii="Arial" w:hAnsi="Arial" w:cs="Arial"/>
          <w:color w:val="000000"/>
          <w:sz w:val="16"/>
          <w:szCs w:val="16"/>
        </w:rPr>
      </w:pPr>
      <w:r w:rsidRPr="009B313C">
        <w:rPr>
          <w:rStyle w:val="FootnoteReference"/>
          <w:rFonts w:ascii="Arial" w:hAnsi="Arial" w:cs="Arial"/>
          <w:color w:val="000000"/>
          <w:sz w:val="16"/>
          <w:szCs w:val="16"/>
        </w:rPr>
        <w:footnoteRef/>
      </w:r>
      <w:r w:rsidRPr="009B313C">
        <w:rPr>
          <w:rFonts w:ascii="Arial" w:hAnsi="Arial" w:cs="Arial"/>
          <w:color w:val="000000"/>
          <w:sz w:val="16"/>
          <w:szCs w:val="16"/>
        </w:rPr>
        <w:t xml:space="preserve"> </w:t>
      </w:r>
      <w:r w:rsidRPr="009B313C">
        <w:rPr>
          <w:rFonts w:ascii="Arial" w:hAnsi="Arial" w:cs="Arial"/>
          <w:color w:val="000000"/>
          <w:sz w:val="16"/>
          <w:szCs w:val="16"/>
        </w:rPr>
        <w:tab/>
        <w:t xml:space="preserve">Productivity Commission, </w:t>
      </w:r>
      <w:r w:rsidRPr="009B313C">
        <w:rPr>
          <w:rFonts w:ascii="Arial" w:hAnsi="Arial" w:cs="Arial"/>
          <w:i/>
          <w:color w:val="000000"/>
          <w:sz w:val="16"/>
          <w:szCs w:val="16"/>
          <w:lang w:eastAsia="en-AU"/>
        </w:rPr>
        <w:t>Review of the Australian Consumer Product Safety System</w:t>
      </w:r>
      <w:r w:rsidRPr="009B313C">
        <w:rPr>
          <w:rFonts w:ascii="Arial" w:hAnsi="Arial" w:cs="Arial"/>
          <w:i/>
          <w:color w:val="000000"/>
          <w:sz w:val="16"/>
          <w:szCs w:val="16"/>
        </w:rPr>
        <w:t>, Productivity Commission Research Report, Forward,</w:t>
      </w:r>
      <w:r w:rsidRPr="009B313C">
        <w:rPr>
          <w:rFonts w:ascii="Arial" w:hAnsi="Arial" w:cs="Arial"/>
          <w:color w:val="000000"/>
          <w:sz w:val="16"/>
          <w:szCs w:val="16"/>
        </w:rPr>
        <w:t xml:space="preserve"> January</w:t>
      </w:r>
      <w:r>
        <w:rPr>
          <w:rFonts w:ascii="Arial" w:hAnsi="Arial" w:cs="Arial"/>
          <w:color w:val="000000"/>
          <w:sz w:val="16"/>
          <w:szCs w:val="16"/>
        </w:rPr>
        <w:t> </w:t>
      </w:r>
      <w:r w:rsidRPr="009B313C">
        <w:rPr>
          <w:rFonts w:ascii="Arial" w:hAnsi="Arial" w:cs="Arial"/>
          <w:color w:val="000000"/>
          <w:sz w:val="16"/>
          <w:szCs w:val="16"/>
        </w:rPr>
        <w:t>2006, p.</w:t>
      </w:r>
      <w:r>
        <w:rPr>
          <w:rFonts w:ascii="Arial" w:hAnsi="Arial" w:cs="Arial"/>
          <w:color w:val="000000"/>
          <w:sz w:val="16"/>
          <w:szCs w:val="16"/>
        </w:rPr>
        <w:t> </w:t>
      </w:r>
      <w:r w:rsidRPr="009B313C">
        <w:rPr>
          <w:rFonts w:ascii="Arial" w:hAnsi="Arial" w:cs="Arial"/>
          <w:color w:val="000000"/>
          <w:sz w:val="16"/>
          <w:szCs w:val="16"/>
        </w:rPr>
        <w:t>xxvii.</w:t>
      </w:r>
    </w:p>
  </w:footnote>
  <w:footnote w:id="65">
    <w:p w:rsidR="002239EF" w:rsidRPr="009B313C" w:rsidRDefault="002239EF" w:rsidP="00EF1EA3">
      <w:pPr>
        <w:pStyle w:val="FootnoteText"/>
        <w:ind w:left="709" w:hanging="709"/>
        <w:rPr>
          <w:rFonts w:cs="Arial"/>
          <w:color w:val="000000"/>
          <w:sz w:val="16"/>
          <w:szCs w:val="16"/>
          <w:lang w:val="en-AU"/>
        </w:rPr>
      </w:pPr>
      <w:r w:rsidRPr="009B313C">
        <w:rPr>
          <w:rStyle w:val="FootnoteReference"/>
          <w:rFonts w:cs="Arial"/>
          <w:color w:val="000000"/>
          <w:sz w:val="16"/>
          <w:szCs w:val="16"/>
        </w:rPr>
        <w:footnoteRef/>
      </w:r>
      <w:r w:rsidRPr="009B313C">
        <w:rPr>
          <w:rFonts w:cs="Arial"/>
          <w:color w:val="000000"/>
          <w:sz w:val="16"/>
          <w:szCs w:val="16"/>
        </w:rPr>
        <w:t xml:space="preserve"> </w:t>
      </w:r>
      <w:r>
        <w:rPr>
          <w:rFonts w:cs="Arial"/>
          <w:color w:val="000000"/>
          <w:sz w:val="16"/>
          <w:szCs w:val="16"/>
          <w:lang w:val="en-AU"/>
        </w:rPr>
        <w:tab/>
      </w:r>
      <w:r>
        <w:rPr>
          <w:sz w:val="16"/>
          <w:szCs w:val="16"/>
          <w:lang w:val="en-AU"/>
        </w:rPr>
        <w:t>i</w:t>
      </w:r>
      <w:r w:rsidRPr="00BE7D97">
        <w:rPr>
          <w:sz w:val="16"/>
          <w:szCs w:val="16"/>
          <w:lang w:val="en-AU"/>
        </w:rPr>
        <w:t>bid</w:t>
      </w:r>
      <w:r>
        <w:rPr>
          <w:sz w:val="16"/>
          <w:szCs w:val="16"/>
          <w:lang w:val="en-AU"/>
        </w:rPr>
        <w:t>.</w:t>
      </w:r>
      <w:r>
        <w:rPr>
          <w:rFonts w:cs="Arial"/>
          <w:color w:val="000000"/>
          <w:sz w:val="16"/>
          <w:szCs w:val="16"/>
          <w:lang w:val="en-AU"/>
        </w:rPr>
        <w:t>,</w:t>
      </w:r>
      <w:r w:rsidRPr="009B313C">
        <w:rPr>
          <w:rFonts w:cs="Arial"/>
          <w:color w:val="000000"/>
          <w:sz w:val="16"/>
          <w:szCs w:val="16"/>
          <w:lang w:val="en-AU"/>
        </w:rPr>
        <w:t xml:space="preserve"> p.</w:t>
      </w:r>
      <w:r>
        <w:rPr>
          <w:rFonts w:cs="Arial"/>
          <w:color w:val="000000"/>
          <w:sz w:val="16"/>
          <w:szCs w:val="16"/>
          <w:lang w:val="en-AU"/>
        </w:rPr>
        <w:t> </w:t>
      </w:r>
      <w:r w:rsidRPr="009B313C">
        <w:rPr>
          <w:rFonts w:cs="Arial"/>
          <w:color w:val="000000"/>
          <w:sz w:val="16"/>
          <w:szCs w:val="16"/>
          <w:lang w:val="en-AU"/>
        </w:rPr>
        <w:t>xxviii.</w:t>
      </w:r>
    </w:p>
  </w:footnote>
  <w:footnote w:id="66">
    <w:p w:rsidR="002239EF" w:rsidRPr="000F284C" w:rsidRDefault="002239EF" w:rsidP="00EF1EA3">
      <w:pPr>
        <w:pStyle w:val="FootnoteText"/>
        <w:ind w:left="709" w:hanging="709"/>
        <w:rPr>
          <w:sz w:val="16"/>
          <w:lang w:val="en-AU"/>
        </w:rPr>
      </w:pPr>
      <w:r w:rsidRPr="000F284C">
        <w:rPr>
          <w:rStyle w:val="FootnoteReference"/>
          <w:sz w:val="16"/>
        </w:rPr>
        <w:footnoteRef/>
      </w:r>
      <w:r w:rsidRPr="000F284C">
        <w:rPr>
          <w:sz w:val="16"/>
        </w:rPr>
        <w:t xml:space="preserve"> </w:t>
      </w:r>
      <w:r>
        <w:rPr>
          <w:sz w:val="16"/>
        </w:rPr>
        <w:tab/>
      </w:r>
      <w:r w:rsidRPr="000F284C">
        <w:rPr>
          <w:color w:val="000000"/>
          <w:sz w:val="16"/>
          <w:szCs w:val="16"/>
          <w:lang w:val="en-AU"/>
        </w:rPr>
        <w:t xml:space="preserve">The Parliament of the Commonwealth of Australia, Senate, </w:t>
      </w:r>
      <w:r w:rsidRPr="002B4DAC">
        <w:rPr>
          <w:i/>
          <w:color w:val="000000"/>
          <w:sz w:val="16"/>
          <w:szCs w:val="16"/>
          <w:lang w:val="en-AU"/>
        </w:rPr>
        <w:t>Trade Practices Act Amendment Bill</w:t>
      </w:r>
      <w:r>
        <w:rPr>
          <w:i/>
          <w:color w:val="000000"/>
          <w:sz w:val="16"/>
          <w:szCs w:val="16"/>
          <w:lang w:val="en-AU"/>
        </w:rPr>
        <w:t> </w:t>
      </w:r>
      <w:r w:rsidRPr="002B4DAC">
        <w:rPr>
          <w:i/>
          <w:color w:val="000000"/>
          <w:sz w:val="16"/>
          <w:szCs w:val="16"/>
          <w:lang w:val="en-AU"/>
        </w:rPr>
        <w:t xml:space="preserve">1992, Explanatory </w:t>
      </w:r>
      <w:r w:rsidRPr="002B4DAC">
        <w:rPr>
          <w:rFonts w:cs="Arial"/>
          <w:i/>
          <w:color w:val="000000"/>
          <w:sz w:val="16"/>
          <w:szCs w:val="16"/>
          <w:lang w:val="en-AU"/>
        </w:rPr>
        <w:t>Memorandum</w:t>
      </w:r>
      <w:r>
        <w:rPr>
          <w:rFonts w:cs="Arial"/>
          <w:color w:val="000000"/>
          <w:sz w:val="16"/>
          <w:szCs w:val="16"/>
          <w:lang w:val="en-AU"/>
        </w:rPr>
        <w:t>, p. 242</w:t>
      </w:r>
      <w:r w:rsidRPr="000F284C">
        <w:rPr>
          <w:rFonts w:cs="Arial"/>
          <w:color w:val="000000"/>
          <w:sz w:val="16"/>
          <w:szCs w:val="16"/>
          <w:lang w:val="en-AU"/>
        </w:rPr>
        <w:t>.</w:t>
      </w:r>
    </w:p>
  </w:footnote>
  <w:footnote w:id="67">
    <w:p w:rsidR="002239EF" w:rsidRPr="00EF1BB5" w:rsidRDefault="002239EF" w:rsidP="00EF1EA3">
      <w:pPr>
        <w:pStyle w:val="FootnoteText"/>
        <w:ind w:left="709" w:hanging="709"/>
        <w:rPr>
          <w:sz w:val="16"/>
          <w:lang w:val="en-AU"/>
        </w:rPr>
      </w:pPr>
      <w:r w:rsidRPr="00EF1BB5">
        <w:rPr>
          <w:rStyle w:val="FootnoteReference"/>
          <w:sz w:val="16"/>
        </w:rPr>
        <w:footnoteRef/>
      </w:r>
      <w:r w:rsidRPr="00EF1BB5">
        <w:rPr>
          <w:sz w:val="16"/>
        </w:rPr>
        <w:t xml:space="preserve"> </w:t>
      </w:r>
      <w:r w:rsidRPr="00EF1BB5">
        <w:rPr>
          <w:sz w:val="16"/>
        </w:rPr>
        <w:tab/>
      </w:r>
      <w:r>
        <w:rPr>
          <w:sz w:val="16"/>
          <w:szCs w:val="16"/>
          <w:lang w:val="en-AU"/>
        </w:rPr>
        <w:t>i</w:t>
      </w:r>
      <w:r w:rsidRPr="00BE7D97">
        <w:rPr>
          <w:sz w:val="16"/>
          <w:szCs w:val="16"/>
          <w:lang w:val="en-AU"/>
        </w:rPr>
        <w:t>bid</w:t>
      </w:r>
      <w:r>
        <w:rPr>
          <w:sz w:val="16"/>
          <w:szCs w:val="16"/>
          <w:lang w:val="en-AU"/>
        </w:rPr>
        <w:t>.</w:t>
      </w:r>
      <w:r>
        <w:rPr>
          <w:sz w:val="16"/>
        </w:rPr>
        <w:t>,</w:t>
      </w:r>
      <w:r w:rsidRPr="00EF1BB5">
        <w:rPr>
          <w:rFonts w:cs="Arial"/>
          <w:color w:val="000000"/>
          <w:sz w:val="16"/>
          <w:szCs w:val="16"/>
          <w:lang w:val="en-AU"/>
        </w:rPr>
        <w:t xml:space="preserve"> p.</w:t>
      </w:r>
      <w:r>
        <w:rPr>
          <w:rFonts w:cs="Arial"/>
          <w:color w:val="000000"/>
          <w:sz w:val="16"/>
          <w:szCs w:val="16"/>
          <w:lang w:val="en-AU"/>
        </w:rPr>
        <w:t> </w:t>
      </w:r>
      <w:r w:rsidRPr="00EF1BB5">
        <w:rPr>
          <w:rFonts w:cs="Arial"/>
          <w:color w:val="000000"/>
          <w:sz w:val="16"/>
          <w:szCs w:val="16"/>
          <w:lang w:val="en-AU"/>
        </w:rPr>
        <w:t>181.</w:t>
      </w:r>
    </w:p>
  </w:footnote>
  <w:footnote w:id="68">
    <w:p w:rsidR="002239EF" w:rsidRPr="000B6516" w:rsidRDefault="002239EF" w:rsidP="00EF1EA3">
      <w:pPr>
        <w:pStyle w:val="FootnoteText"/>
        <w:ind w:left="709" w:hanging="709"/>
        <w:rPr>
          <w:sz w:val="16"/>
          <w:szCs w:val="16"/>
          <w:lang w:val="en-AU"/>
        </w:rPr>
      </w:pPr>
      <w:r w:rsidRPr="000B6516">
        <w:rPr>
          <w:rStyle w:val="FootnoteReference"/>
          <w:sz w:val="16"/>
          <w:szCs w:val="16"/>
        </w:rPr>
        <w:footnoteRef/>
      </w:r>
      <w:r w:rsidRPr="000B6516">
        <w:rPr>
          <w:sz w:val="16"/>
          <w:szCs w:val="16"/>
        </w:rPr>
        <w:t xml:space="preserve"> </w:t>
      </w:r>
      <w:r w:rsidRPr="000B6516">
        <w:rPr>
          <w:sz w:val="16"/>
          <w:szCs w:val="16"/>
          <w:lang w:val="en-AU"/>
        </w:rPr>
        <w:tab/>
        <w:t>The Australian Consumer Law and Your Safety,</w:t>
      </w:r>
      <w:r>
        <w:rPr>
          <w:sz w:val="16"/>
          <w:szCs w:val="16"/>
          <w:lang w:val="en-AU"/>
        </w:rPr>
        <w:t xml:space="preserve"> viewed 8 July 2014, </w:t>
      </w:r>
      <w:hyperlink r:id="rId28" w:history="1">
        <w:r w:rsidRPr="000B6516">
          <w:rPr>
            <w:rStyle w:val="Hyperlink"/>
            <w:sz w:val="16"/>
            <w:szCs w:val="16"/>
            <w:lang w:val="en-AU"/>
          </w:rPr>
          <w:t>http://www.consumerlaw.gov.au/content/Content.aspx?doc=fact_sheets/safety.htm</w:t>
        </w:r>
      </w:hyperlink>
      <w:r w:rsidRPr="000B6516">
        <w:rPr>
          <w:sz w:val="16"/>
          <w:szCs w:val="16"/>
          <w:lang w:val="en-AU"/>
        </w:rPr>
        <w:t xml:space="preserve">. </w:t>
      </w:r>
    </w:p>
  </w:footnote>
  <w:footnote w:id="69">
    <w:p w:rsidR="002239EF" w:rsidRPr="00682995" w:rsidRDefault="002239EF" w:rsidP="00EF1EA3">
      <w:pPr>
        <w:pStyle w:val="FootnoteText"/>
        <w:ind w:left="709" w:hanging="709"/>
        <w:rPr>
          <w:sz w:val="16"/>
          <w:szCs w:val="16"/>
          <w:lang w:val="en-AU"/>
        </w:rPr>
      </w:pPr>
      <w:r w:rsidRPr="00682995">
        <w:rPr>
          <w:rStyle w:val="FootnoteReference"/>
          <w:sz w:val="16"/>
          <w:szCs w:val="16"/>
        </w:rPr>
        <w:footnoteRef/>
      </w:r>
      <w:r w:rsidRPr="00682995">
        <w:rPr>
          <w:sz w:val="16"/>
          <w:szCs w:val="16"/>
        </w:rPr>
        <w:t xml:space="preserve"> </w:t>
      </w:r>
      <w:r w:rsidRPr="00682995">
        <w:rPr>
          <w:sz w:val="16"/>
          <w:szCs w:val="16"/>
          <w:lang w:val="en-AU"/>
        </w:rPr>
        <w:tab/>
      </w:r>
      <w:r w:rsidRPr="00682995">
        <w:rPr>
          <w:color w:val="000000"/>
          <w:sz w:val="16"/>
          <w:szCs w:val="16"/>
          <w:lang w:val="en-AU"/>
        </w:rPr>
        <w:t>The Parliament of the Commonwealth of Australia, House of Representatives, Trade Practice Act Amendment (</w:t>
      </w:r>
      <w:r w:rsidRPr="00682995">
        <w:rPr>
          <w:sz w:val="16"/>
          <w:szCs w:val="16"/>
          <w:lang w:val="en-AU"/>
        </w:rPr>
        <w:t xml:space="preserve">Australian Consumer Law) </w:t>
      </w:r>
      <w:r w:rsidRPr="00682995">
        <w:rPr>
          <w:color w:val="000000"/>
          <w:sz w:val="16"/>
          <w:szCs w:val="16"/>
          <w:lang w:val="en-AU"/>
        </w:rPr>
        <w:t>Bill (No</w:t>
      </w:r>
      <w:r>
        <w:rPr>
          <w:color w:val="000000"/>
          <w:sz w:val="16"/>
          <w:szCs w:val="16"/>
          <w:lang w:val="en-AU"/>
        </w:rPr>
        <w:t> </w:t>
      </w:r>
      <w:r w:rsidRPr="00682995">
        <w:rPr>
          <w:color w:val="000000"/>
          <w:sz w:val="16"/>
          <w:szCs w:val="16"/>
          <w:lang w:val="en-AU"/>
        </w:rPr>
        <w:t>2) of</w:t>
      </w:r>
      <w:r>
        <w:rPr>
          <w:color w:val="000000"/>
          <w:sz w:val="16"/>
          <w:szCs w:val="16"/>
          <w:lang w:val="en-AU"/>
        </w:rPr>
        <w:t> </w:t>
      </w:r>
      <w:r w:rsidRPr="00682995">
        <w:rPr>
          <w:color w:val="000000"/>
          <w:sz w:val="16"/>
          <w:szCs w:val="16"/>
          <w:lang w:val="en-AU"/>
        </w:rPr>
        <w:t>2010, Explanatory Memorandum, p.</w:t>
      </w:r>
      <w:r>
        <w:rPr>
          <w:color w:val="000000"/>
          <w:sz w:val="16"/>
          <w:szCs w:val="16"/>
          <w:lang w:val="en-AU"/>
        </w:rPr>
        <w:t> </w:t>
      </w:r>
      <w:r w:rsidRPr="00682995">
        <w:rPr>
          <w:sz w:val="16"/>
          <w:szCs w:val="16"/>
          <w:lang w:val="en-AU"/>
        </w:rPr>
        <w:t>337.</w:t>
      </w:r>
    </w:p>
  </w:footnote>
  <w:footnote w:id="70">
    <w:p w:rsidR="002239EF" w:rsidRPr="0018472C" w:rsidRDefault="002239EF" w:rsidP="005C15F3">
      <w:pPr>
        <w:pStyle w:val="FootnoteText"/>
        <w:ind w:left="709" w:hanging="709"/>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rPr>
        <w:tab/>
      </w:r>
      <w:r w:rsidRPr="0018472C">
        <w:rPr>
          <w:sz w:val="16"/>
          <w:szCs w:val="16"/>
          <w:lang w:val="en-AU"/>
        </w:rPr>
        <w:t>National Industrial Chemical Notification and Assessment Scheme, 6</w:t>
      </w:r>
      <w:r>
        <w:rPr>
          <w:sz w:val="16"/>
          <w:szCs w:val="16"/>
          <w:lang w:val="en-AU"/>
        </w:rPr>
        <w:t> </w:t>
      </w:r>
      <w:r w:rsidRPr="0018472C">
        <w:rPr>
          <w:sz w:val="16"/>
          <w:szCs w:val="16"/>
          <w:lang w:val="en-AU"/>
        </w:rPr>
        <w:t>June</w:t>
      </w:r>
      <w:r>
        <w:rPr>
          <w:sz w:val="16"/>
          <w:szCs w:val="16"/>
          <w:lang w:val="en-AU"/>
        </w:rPr>
        <w:t> </w:t>
      </w:r>
      <w:r w:rsidRPr="0018472C">
        <w:rPr>
          <w:sz w:val="16"/>
          <w:szCs w:val="16"/>
          <w:lang w:val="en-AU"/>
        </w:rPr>
        <w:t xml:space="preserve">2013, </w:t>
      </w:r>
      <w:r w:rsidRPr="0018472C">
        <w:rPr>
          <w:i/>
          <w:sz w:val="16"/>
          <w:szCs w:val="16"/>
          <w:lang w:val="en-AU"/>
        </w:rPr>
        <w:t>Inventory Multi-Tiered Assessment and Prioritisation Human Health Tier II Assessment for Benzidine-Based Dyes</w:t>
      </w:r>
      <w:r w:rsidRPr="0018472C">
        <w:rPr>
          <w:sz w:val="16"/>
          <w:szCs w:val="16"/>
          <w:lang w:val="en-AU"/>
        </w:rPr>
        <w:t xml:space="preserve">, available: </w:t>
      </w:r>
      <w:hyperlink r:id="rId29" w:history="1">
        <w:r w:rsidRPr="0018472C">
          <w:rPr>
            <w:rStyle w:val="Hyperlink"/>
            <w:sz w:val="16"/>
            <w:szCs w:val="16"/>
            <w:lang w:val="en-AU"/>
          </w:rPr>
          <w:t>http://www.nicnas.gov.au/chemical-information/imap-assessments/imap-group-assessment-report?assessment_id=513</w:t>
        </w:r>
      </w:hyperlink>
      <w:r w:rsidRPr="0018472C">
        <w:rPr>
          <w:rStyle w:val="Hyperlink"/>
          <w:sz w:val="16"/>
          <w:szCs w:val="16"/>
          <w:lang w:val="en-AU"/>
        </w:rPr>
        <w:t>.</w:t>
      </w:r>
    </w:p>
  </w:footnote>
  <w:footnote w:id="71">
    <w:p w:rsidR="002239EF" w:rsidRPr="0018472C" w:rsidRDefault="002239EF" w:rsidP="005C15F3">
      <w:pPr>
        <w:pStyle w:val="FootnoteText"/>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lang w:val="en-AU"/>
        </w:rPr>
        <w:tab/>
        <w:t>ibid.</w:t>
      </w:r>
    </w:p>
  </w:footnote>
  <w:footnote w:id="72">
    <w:p w:rsidR="002239EF" w:rsidRPr="0018472C" w:rsidRDefault="002239EF" w:rsidP="005C15F3">
      <w:pPr>
        <w:pStyle w:val="FootnoteText"/>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lang w:val="en-AU"/>
        </w:rPr>
        <w:tab/>
      </w:r>
      <w:r>
        <w:rPr>
          <w:sz w:val="16"/>
          <w:szCs w:val="16"/>
          <w:lang w:val="en-AU"/>
        </w:rPr>
        <w:t>i</w:t>
      </w:r>
      <w:r w:rsidRPr="0018472C">
        <w:rPr>
          <w:sz w:val="16"/>
          <w:szCs w:val="16"/>
          <w:lang w:val="en-AU"/>
        </w:rPr>
        <w:t>bid.</w:t>
      </w:r>
    </w:p>
  </w:footnote>
  <w:footnote w:id="73">
    <w:p w:rsidR="002239EF" w:rsidRPr="0018472C" w:rsidRDefault="002239EF" w:rsidP="005C15F3">
      <w:pPr>
        <w:pStyle w:val="FootnoteText"/>
        <w:ind w:left="709" w:hanging="709"/>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lang w:val="en-AU"/>
        </w:rPr>
        <w:tab/>
      </w:r>
      <w:r>
        <w:rPr>
          <w:sz w:val="16"/>
          <w:szCs w:val="16"/>
          <w:lang w:val="en-AU"/>
        </w:rPr>
        <w:t xml:space="preserve">K </w:t>
      </w:r>
      <w:r w:rsidRPr="0018472C">
        <w:rPr>
          <w:sz w:val="16"/>
          <w:szCs w:val="16"/>
          <w:lang w:val="en-AU"/>
        </w:rPr>
        <w:t xml:space="preserve">Golka, Goebell, P.J., Rettenmeier, A.W., </w:t>
      </w:r>
      <w:r w:rsidRPr="0018472C">
        <w:rPr>
          <w:i/>
          <w:sz w:val="16"/>
          <w:szCs w:val="16"/>
          <w:lang w:val="en-AU"/>
        </w:rPr>
        <w:t>Bladder Cancer: Etiology and Prevention Part 1 of a series on urothelial carcinoma</w:t>
      </w:r>
      <w:r w:rsidRPr="0018472C">
        <w:rPr>
          <w:sz w:val="16"/>
          <w:szCs w:val="16"/>
          <w:lang w:val="en-AU"/>
        </w:rPr>
        <w:t>, Dtsch Arztebl, 104(11), A719-23</w:t>
      </w:r>
      <w:r>
        <w:rPr>
          <w:sz w:val="16"/>
          <w:szCs w:val="16"/>
          <w:lang w:val="en-AU"/>
        </w:rPr>
        <w:t xml:space="preserve">, </w:t>
      </w:r>
      <w:r w:rsidRPr="0018472C">
        <w:rPr>
          <w:sz w:val="16"/>
          <w:szCs w:val="16"/>
          <w:lang w:val="en-AU"/>
        </w:rPr>
        <w:t xml:space="preserve">2007. </w:t>
      </w:r>
    </w:p>
  </w:footnote>
  <w:footnote w:id="74">
    <w:p w:rsidR="002239EF" w:rsidRPr="0018472C" w:rsidRDefault="002239EF" w:rsidP="005C15F3">
      <w:pPr>
        <w:pStyle w:val="FootnoteText"/>
        <w:ind w:left="709" w:hanging="709"/>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rPr>
        <w:tab/>
        <w:t xml:space="preserve">Cancer Council NSW, Bladder cancer statistics, </w:t>
      </w:r>
      <w:r>
        <w:rPr>
          <w:sz w:val="16"/>
          <w:szCs w:val="16"/>
        </w:rPr>
        <w:t xml:space="preserve">viewed 4 </w:t>
      </w:r>
      <w:r w:rsidRPr="0018472C">
        <w:rPr>
          <w:sz w:val="16"/>
          <w:szCs w:val="16"/>
        </w:rPr>
        <w:t>March</w:t>
      </w:r>
      <w:r>
        <w:rPr>
          <w:sz w:val="16"/>
          <w:szCs w:val="16"/>
        </w:rPr>
        <w:t> </w:t>
      </w:r>
      <w:r w:rsidRPr="0018472C">
        <w:rPr>
          <w:sz w:val="16"/>
          <w:szCs w:val="16"/>
        </w:rPr>
        <w:t>2014</w:t>
      </w:r>
      <w:r>
        <w:rPr>
          <w:sz w:val="16"/>
          <w:szCs w:val="16"/>
        </w:rPr>
        <w:t xml:space="preserve">, </w:t>
      </w:r>
      <w:hyperlink r:id="rId30" w:history="1">
        <w:r w:rsidRPr="0018472C">
          <w:rPr>
            <w:rStyle w:val="Hyperlink"/>
            <w:sz w:val="16"/>
            <w:szCs w:val="16"/>
          </w:rPr>
          <w:t>http://www.cancercouncil.com.au/73739/b1000/bladder-cancer-10/bladder-cancer-statistics/</w:t>
        </w:r>
      </w:hyperlink>
      <w:r w:rsidRPr="0018472C">
        <w:rPr>
          <w:sz w:val="16"/>
          <w:szCs w:val="16"/>
        </w:rPr>
        <w:t xml:space="preserve">. </w:t>
      </w:r>
    </w:p>
  </w:footnote>
  <w:footnote w:id="75">
    <w:p w:rsidR="002239EF" w:rsidRPr="0018472C" w:rsidRDefault="002239EF" w:rsidP="005C15F3">
      <w:pPr>
        <w:pStyle w:val="FootnoteText"/>
        <w:ind w:left="709" w:hanging="709"/>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lang w:val="en-AU"/>
        </w:rPr>
        <w:tab/>
        <w:t>United States Department of Health and Human Services, Report on Carcinogens, 12</w:t>
      </w:r>
      <w:r w:rsidRPr="0018472C">
        <w:rPr>
          <w:sz w:val="16"/>
          <w:szCs w:val="16"/>
          <w:vertAlign w:val="superscript"/>
          <w:lang w:val="en-AU"/>
        </w:rPr>
        <w:t>th</w:t>
      </w:r>
      <w:r>
        <w:rPr>
          <w:sz w:val="16"/>
          <w:szCs w:val="16"/>
          <w:lang w:val="en-AU"/>
        </w:rPr>
        <w:t> </w:t>
      </w:r>
      <w:r w:rsidRPr="0018472C">
        <w:rPr>
          <w:sz w:val="16"/>
          <w:szCs w:val="16"/>
          <w:lang w:val="en-AU"/>
        </w:rPr>
        <w:t>Edition, 2011</w:t>
      </w:r>
      <w:r>
        <w:rPr>
          <w:sz w:val="16"/>
          <w:szCs w:val="16"/>
          <w:lang w:val="en-AU"/>
        </w:rPr>
        <w:t xml:space="preserve">, </w:t>
      </w:r>
      <w:r w:rsidRPr="0018472C">
        <w:rPr>
          <w:sz w:val="16"/>
          <w:szCs w:val="16"/>
          <w:lang w:val="en-AU"/>
        </w:rPr>
        <w:t>p. 62</w:t>
      </w:r>
      <w:r>
        <w:rPr>
          <w:sz w:val="16"/>
          <w:szCs w:val="16"/>
          <w:lang w:val="en-AU"/>
        </w:rPr>
        <w:t xml:space="preserve">, viewed 4 April 2014, </w:t>
      </w:r>
      <w:hyperlink r:id="rId31" w:history="1">
        <w:r w:rsidRPr="0018472C">
          <w:rPr>
            <w:rStyle w:val="Hyperlink"/>
            <w:sz w:val="16"/>
            <w:szCs w:val="16"/>
            <w:lang w:val="en-AU"/>
          </w:rPr>
          <w:t>http://ntp.niehs.nih.gov/ntp/roc/twelfth/roc12.pdf</w:t>
        </w:r>
      </w:hyperlink>
      <w:r w:rsidRPr="0018472C">
        <w:rPr>
          <w:rStyle w:val="Hyperlink"/>
          <w:sz w:val="16"/>
          <w:szCs w:val="16"/>
          <w:lang w:val="en-AU"/>
        </w:rPr>
        <w:t>.</w:t>
      </w:r>
    </w:p>
  </w:footnote>
  <w:footnote w:id="76">
    <w:p w:rsidR="002239EF" w:rsidRPr="0018472C" w:rsidRDefault="002239EF" w:rsidP="005C15F3">
      <w:pPr>
        <w:pStyle w:val="FootnoteText"/>
        <w:ind w:left="709" w:hanging="709"/>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lang w:val="en-AU"/>
        </w:rPr>
        <w:tab/>
      </w:r>
      <w:r>
        <w:rPr>
          <w:sz w:val="16"/>
          <w:szCs w:val="16"/>
          <w:lang w:val="en-AU"/>
        </w:rPr>
        <w:t xml:space="preserve">G </w:t>
      </w:r>
      <w:r w:rsidRPr="0018472C">
        <w:rPr>
          <w:sz w:val="16"/>
          <w:szCs w:val="16"/>
          <w:lang w:val="en-AU"/>
        </w:rPr>
        <w:t xml:space="preserve">Steinberg., </w:t>
      </w:r>
      <w:r w:rsidRPr="0018472C">
        <w:rPr>
          <w:i/>
          <w:sz w:val="16"/>
          <w:szCs w:val="16"/>
          <w:lang w:val="en-AU"/>
        </w:rPr>
        <w:t>Bladder Cancer</w:t>
      </w:r>
      <w:r w:rsidRPr="0018472C">
        <w:rPr>
          <w:sz w:val="16"/>
          <w:szCs w:val="16"/>
          <w:lang w:val="en-AU"/>
        </w:rPr>
        <w:t xml:space="preserve">, The University of Chicago Medical Centre, Centre of Urology, </w:t>
      </w:r>
      <w:r>
        <w:rPr>
          <w:sz w:val="16"/>
          <w:szCs w:val="16"/>
          <w:lang w:val="en-AU"/>
        </w:rPr>
        <w:t xml:space="preserve">viewed </w:t>
      </w:r>
      <w:r w:rsidRPr="0018472C">
        <w:rPr>
          <w:sz w:val="16"/>
          <w:szCs w:val="16"/>
          <w:lang w:val="en-AU"/>
        </w:rPr>
        <w:t>30</w:t>
      </w:r>
      <w:r>
        <w:rPr>
          <w:sz w:val="16"/>
          <w:szCs w:val="16"/>
          <w:lang w:val="en-AU"/>
        </w:rPr>
        <w:t> </w:t>
      </w:r>
      <w:r w:rsidRPr="0018472C">
        <w:rPr>
          <w:sz w:val="16"/>
          <w:szCs w:val="16"/>
          <w:lang w:val="en-AU"/>
        </w:rPr>
        <w:t>June</w:t>
      </w:r>
      <w:r>
        <w:rPr>
          <w:sz w:val="16"/>
          <w:szCs w:val="16"/>
          <w:lang w:val="en-AU"/>
        </w:rPr>
        <w:t> </w:t>
      </w:r>
      <w:r w:rsidRPr="0018472C">
        <w:rPr>
          <w:sz w:val="16"/>
          <w:szCs w:val="16"/>
          <w:lang w:val="en-AU"/>
        </w:rPr>
        <w:t>2014</w:t>
      </w:r>
      <w:r>
        <w:rPr>
          <w:sz w:val="16"/>
          <w:szCs w:val="16"/>
          <w:lang w:val="en-AU"/>
        </w:rPr>
        <w:t xml:space="preserve">, </w:t>
      </w:r>
      <w:hyperlink r:id="rId32" w:history="1">
        <w:r w:rsidRPr="0018472C">
          <w:rPr>
            <w:rStyle w:val="Hyperlink"/>
            <w:sz w:val="16"/>
            <w:szCs w:val="16"/>
            <w:lang w:val="en-AU"/>
          </w:rPr>
          <w:t>http://www.ucurology.org/areas-of-specialization/bladder-cancer</w:t>
        </w:r>
      </w:hyperlink>
      <w:r w:rsidRPr="0018472C">
        <w:rPr>
          <w:rStyle w:val="Hyperlink"/>
          <w:sz w:val="16"/>
          <w:szCs w:val="16"/>
          <w:lang w:val="en-AU"/>
        </w:rPr>
        <w:t>.</w:t>
      </w:r>
    </w:p>
  </w:footnote>
  <w:footnote w:id="77">
    <w:p w:rsidR="002239EF" w:rsidRDefault="002239EF" w:rsidP="005C15F3">
      <w:pPr>
        <w:pStyle w:val="FootnoteText"/>
        <w:ind w:left="709" w:hanging="709"/>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rPr>
        <w:tab/>
      </w:r>
      <w:r>
        <w:rPr>
          <w:sz w:val="16"/>
          <w:szCs w:val="16"/>
        </w:rPr>
        <w:t xml:space="preserve">D.A </w:t>
      </w:r>
      <w:r w:rsidRPr="0018472C">
        <w:rPr>
          <w:sz w:val="16"/>
          <w:szCs w:val="16"/>
        </w:rPr>
        <w:t>Barocas, Globe, D.R., Colayco, D.C., Onyenwenyi, A., Bruno, A.S., Bramley, T.J., and Spear, R.J. “</w:t>
      </w:r>
      <w:r w:rsidRPr="0018472C">
        <w:rPr>
          <w:i/>
          <w:sz w:val="16"/>
          <w:szCs w:val="16"/>
        </w:rPr>
        <w:t>Surveillance and Treatment of Non-Muscle-Invasive Bladder Cancer in the USA</w:t>
      </w:r>
      <w:r w:rsidRPr="0018472C">
        <w:rPr>
          <w:sz w:val="16"/>
          <w:szCs w:val="16"/>
        </w:rPr>
        <w:t>”, Advances in Urology,</w:t>
      </w:r>
      <w:r w:rsidRPr="0018472C">
        <w:rPr>
          <w:i/>
          <w:sz w:val="16"/>
          <w:szCs w:val="16"/>
        </w:rPr>
        <w:t xml:space="preserve"> </w:t>
      </w:r>
      <w:r w:rsidRPr="0018472C">
        <w:rPr>
          <w:sz w:val="16"/>
          <w:szCs w:val="16"/>
        </w:rPr>
        <w:t>2012, pp.</w:t>
      </w:r>
      <w:r>
        <w:rPr>
          <w:sz w:val="16"/>
          <w:szCs w:val="16"/>
        </w:rPr>
        <w:t> </w:t>
      </w:r>
      <w:r w:rsidRPr="0018472C">
        <w:rPr>
          <w:sz w:val="16"/>
          <w:szCs w:val="16"/>
        </w:rPr>
        <w:t>1-8</w:t>
      </w:r>
      <w:r>
        <w:rPr>
          <w:sz w:val="16"/>
          <w:szCs w:val="16"/>
        </w:rPr>
        <w:t>.</w:t>
      </w:r>
    </w:p>
  </w:footnote>
  <w:footnote w:id="78">
    <w:p w:rsidR="002239EF" w:rsidRPr="0018472C" w:rsidRDefault="002239EF" w:rsidP="005C15F3">
      <w:pPr>
        <w:pStyle w:val="FootnoteText"/>
        <w:ind w:left="709" w:hanging="709"/>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lang w:val="en-AU"/>
        </w:rPr>
        <w:tab/>
        <w:t xml:space="preserve">Access Economics, , </w:t>
      </w:r>
      <w:r w:rsidRPr="0018472C">
        <w:rPr>
          <w:i/>
          <w:sz w:val="16"/>
          <w:szCs w:val="16"/>
          <w:lang w:val="en-AU"/>
        </w:rPr>
        <w:t>Cost of Cancer in NSW – A report by Access Economics Pty Limited for the Cancer Council NSW</w:t>
      </w:r>
      <w:r w:rsidRPr="0018472C">
        <w:rPr>
          <w:sz w:val="16"/>
          <w:szCs w:val="16"/>
          <w:lang w:val="en-AU"/>
        </w:rPr>
        <w:t>, 2007</w:t>
      </w:r>
      <w:r>
        <w:rPr>
          <w:sz w:val="16"/>
          <w:szCs w:val="16"/>
          <w:lang w:val="en-AU"/>
        </w:rPr>
        <w:t>,</w:t>
      </w:r>
      <w:r w:rsidRPr="0018472C">
        <w:rPr>
          <w:sz w:val="16"/>
          <w:szCs w:val="16"/>
          <w:lang w:val="en-AU"/>
        </w:rPr>
        <w:t>Executive Summary, pp.</w:t>
      </w:r>
      <w:r>
        <w:rPr>
          <w:sz w:val="16"/>
          <w:szCs w:val="16"/>
          <w:lang w:val="en-AU"/>
        </w:rPr>
        <w:t> </w:t>
      </w:r>
      <w:r w:rsidRPr="0018472C">
        <w:rPr>
          <w:sz w:val="16"/>
          <w:szCs w:val="16"/>
          <w:lang w:val="en-AU"/>
        </w:rPr>
        <w:t xml:space="preserve">v-vi, </w:t>
      </w:r>
      <w:r>
        <w:rPr>
          <w:sz w:val="16"/>
          <w:szCs w:val="16"/>
          <w:lang w:val="en-AU"/>
        </w:rPr>
        <w:t>viewed 4 August 2014,</w:t>
      </w:r>
      <w:r w:rsidRPr="0018472C">
        <w:rPr>
          <w:sz w:val="16"/>
          <w:szCs w:val="16"/>
          <w:lang w:val="en-AU"/>
        </w:rPr>
        <w:t xml:space="preserve"> </w:t>
      </w:r>
      <w:hyperlink r:id="rId33" w:history="1">
        <w:r w:rsidRPr="0018472C">
          <w:rPr>
            <w:rStyle w:val="Hyperlink"/>
            <w:sz w:val="16"/>
            <w:szCs w:val="16"/>
            <w:lang w:val="en-AU"/>
          </w:rPr>
          <w:t>http://www.cancercouncil.com.au/wp-content/uploads/2010/11/costofcancer_summary.pdf</w:t>
        </w:r>
      </w:hyperlink>
      <w:r w:rsidRPr="0018472C">
        <w:rPr>
          <w:rStyle w:val="Hyperlink"/>
          <w:sz w:val="16"/>
          <w:szCs w:val="16"/>
          <w:lang w:val="en-AU"/>
        </w:rPr>
        <w:t>.</w:t>
      </w:r>
    </w:p>
  </w:footnote>
  <w:footnote w:id="79">
    <w:p w:rsidR="002239EF" w:rsidRPr="0018472C" w:rsidRDefault="002239EF" w:rsidP="005C15F3">
      <w:pPr>
        <w:pStyle w:val="FootnoteText"/>
        <w:ind w:left="709" w:hanging="709"/>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rPr>
        <w:tab/>
      </w:r>
      <w:r w:rsidRPr="0018472C">
        <w:rPr>
          <w:sz w:val="16"/>
          <w:szCs w:val="16"/>
          <w:lang w:val="en-AU"/>
        </w:rPr>
        <w:t xml:space="preserve">Access Economics, </w:t>
      </w:r>
      <w:r w:rsidRPr="0018472C">
        <w:rPr>
          <w:i/>
          <w:sz w:val="16"/>
          <w:szCs w:val="16"/>
          <w:lang w:val="en-AU"/>
        </w:rPr>
        <w:t>Cost of Cancer in NSW – A report by Access Economics Pty Limited for the Cancer Council NSW</w:t>
      </w:r>
      <w:r w:rsidRPr="0018472C">
        <w:rPr>
          <w:sz w:val="16"/>
          <w:szCs w:val="16"/>
          <w:lang w:val="en-AU"/>
        </w:rPr>
        <w:t>, 2007</w:t>
      </w:r>
      <w:r>
        <w:rPr>
          <w:sz w:val="16"/>
          <w:szCs w:val="16"/>
          <w:lang w:val="en-AU"/>
        </w:rPr>
        <w:t xml:space="preserve"> </w:t>
      </w:r>
      <w:r w:rsidRPr="0018472C">
        <w:rPr>
          <w:sz w:val="16"/>
          <w:szCs w:val="16"/>
          <w:lang w:val="en-AU"/>
        </w:rPr>
        <w:t>Sections 3</w:t>
      </w:r>
      <w:r>
        <w:rPr>
          <w:sz w:val="16"/>
          <w:szCs w:val="16"/>
          <w:lang w:val="en-AU"/>
        </w:rPr>
        <w:t> </w:t>
      </w:r>
      <w:r w:rsidRPr="0018472C">
        <w:rPr>
          <w:sz w:val="16"/>
          <w:szCs w:val="16"/>
          <w:lang w:val="en-AU"/>
        </w:rPr>
        <w:t>-</w:t>
      </w:r>
      <w:r>
        <w:rPr>
          <w:sz w:val="16"/>
          <w:szCs w:val="16"/>
          <w:lang w:val="en-AU"/>
        </w:rPr>
        <w:t> </w:t>
      </w:r>
      <w:r w:rsidRPr="0018472C">
        <w:rPr>
          <w:sz w:val="16"/>
          <w:szCs w:val="16"/>
          <w:lang w:val="en-AU"/>
        </w:rPr>
        <w:t>10, Table</w:t>
      </w:r>
      <w:r>
        <w:rPr>
          <w:sz w:val="16"/>
          <w:szCs w:val="16"/>
          <w:lang w:val="en-AU"/>
        </w:rPr>
        <w:t> </w:t>
      </w:r>
      <w:r w:rsidRPr="0018472C">
        <w:rPr>
          <w:sz w:val="16"/>
          <w:szCs w:val="16"/>
          <w:lang w:val="en-AU"/>
        </w:rPr>
        <w:t>9-5, p.</w:t>
      </w:r>
      <w:r>
        <w:rPr>
          <w:sz w:val="16"/>
          <w:szCs w:val="16"/>
          <w:lang w:val="en-AU"/>
        </w:rPr>
        <w:t> </w:t>
      </w:r>
      <w:r w:rsidRPr="0018472C">
        <w:rPr>
          <w:sz w:val="16"/>
          <w:szCs w:val="16"/>
          <w:lang w:val="en-AU"/>
        </w:rPr>
        <w:t xml:space="preserve">127, </w:t>
      </w:r>
      <w:r>
        <w:rPr>
          <w:sz w:val="16"/>
          <w:szCs w:val="16"/>
          <w:lang w:val="en-AU"/>
        </w:rPr>
        <w:t>viewed, 4 August 2014,</w:t>
      </w:r>
      <w:r w:rsidRPr="0018472C">
        <w:rPr>
          <w:sz w:val="16"/>
          <w:szCs w:val="16"/>
          <w:lang w:val="en-AU"/>
        </w:rPr>
        <w:t xml:space="preserve"> </w:t>
      </w:r>
      <w:hyperlink r:id="rId34" w:history="1">
        <w:r w:rsidRPr="0018472C">
          <w:rPr>
            <w:rStyle w:val="Hyperlink"/>
            <w:sz w:val="16"/>
            <w:szCs w:val="16"/>
            <w:lang w:val="en-AU"/>
          </w:rPr>
          <w:t>http://cancercouncil.com.au/wp-content/uploads/2010/11/costofcancer_costs.pdf</w:t>
        </w:r>
      </w:hyperlink>
      <w:r w:rsidRPr="0018472C">
        <w:rPr>
          <w:rStyle w:val="Hyperlink"/>
          <w:sz w:val="16"/>
          <w:szCs w:val="16"/>
          <w:lang w:val="en-AU"/>
        </w:rPr>
        <w:t>.</w:t>
      </w:r>
    </w:p>
  </w:footnote>
  <w:footnote w:id="80">
    <w:p w:rsidR="002239EF" w:rsidRDefault="002239EF" w:rsidP="005C15F3">
      <w:pPr>
        <w:pStyle w:val="FootnoteText"/>
        <w:ind w:left="709" w:hanging="709"/>
        <w:rPr>
          <w:lang w:val="en-AU"/>
        </w:rPr>
      </w:pPr>
      <w:r w:rsidRPr="0018472C">
        <w:rPr>
          <w:rStyle w:val="FootnoteReference"/>
          <w:sz w:val="16"/>
          <w:szCs w:val="16"/>
        </w:rPr>
        <w:footnoteRef/>
      </w:r>
      <w:r w:rsidRPr="0018472C">
        <w:rPr>
          <w:sz w:val="16"/>
          <w:szCs w:val="16"/>
        </w:rPr>
        <w:t xml:space="preserve"> </w:t>
      </w:r>
      <w:r w:rsidRPr="0018472C">
        <w:rPr>
          <w:sz w:val="16"/>
          <w:szCs w:val="16"/>
        </w:rPr>
        <w:tab/>
      </w:r>
      <w:r w:rsidRPr="0018472C">
        <w:rPr>
          <w:sz w:val="16"/>
          <w:szCs w:val="16"/>
          <w:lang w:val="en-AU"/>
        </w:rPr>
        <w:t xml:space="preserve">Access Economics, </w:t>
      </w:r>
      <w:r w:rsidRPr="0018472C">
        <w:rPr>
          <w:i/>
          <w:sz w:val="16"/>
          <w:szCs w:val="16"/>
          <w:lang w:val="en-AU"/>
        </w:rPr>
        <w:t>Cost of Cancer in NSW – A report by Access Economics Pty Limited for the Cancer Council NSW</w:t>
      </w:r>
      <w:r w:rsidRPr="0018472C">
        <w:rPr>
          <w:sz w:val="16"/>
          <w:szCs w:val="16"/>
          <w:lang w:val="en-AU"/>
        </w:rPr>
        <w:t>, 2007</w:t>
      </w:r>
      <w:r>
        <w:rPr>
          <w:sz w:val="16"/>
          <w:szCs w:val="16"/>
          <w:lang w:val="en-AU"/>
        </w:rPr>
        <w:t xml:space="preserve"> </w:t>
      </w:r>
      <w:r w:rsidRPr="0018472C">
        <w:rPr>
          <w:sz w:val="16"/>
          <w:szCs w:val="16"/>
          <w:lang w:val="en-AU"/>
        </w:rPr>
        <w:t>Executive Summary, p.</w:t>
      </w:r>
      <w:r>
        <w:rPr>
          <w:sz w:val="16"/>
          <w:szCs w:val="16"/>
          <w:lang w:val="en-AU"/>
        </w:rPr>
        <w:t> </w:t>
      </w:r>
      <w:r w:rsidRPr="0018472C">
        <w:rPr>
          <w:sz w:val="16"/>
          <w:szCs w:val="16"/>
          <w:lang w:val="en-AU"/>
        </w:rPr>
        <w:t xml:space="preserve">xi, </w:t>
      </w:r>
      <w:r>
        <w:rPr>
          <w:sz w:val="16"/>
          <w:szCs w:val="16"/>
          <w:lang w:val="en-AU"/>
        </w:rPr>
        <w:t>viewed 4 August 2014,</w:t>
      </w:r>
      <w:r w:rsidRPr="0018472C">
        <w:rPr>
          <w:sz w:val="16"/>
          <w:szCs w:val="16"/>
          <w:lang w:val="en-AU"/>
        </w:rPr>
        <w:t xml:space="preserve"> </w:t>
      </w:r>
      <w:hyperlink r:id="rId35" w:history="1">
        <w:r w:rsidRPr="0018472C">
          <w:rPr>
            <w:rStyle w:val="Hyperlink"/>
            <w:sz w:val="16"/>
            <w:szCs w:val="16"/>
            <w:lang w:val="en-AU"/>
          </w:rPr>
          <w:t>http://www.cancercouncil.com.au/wp-content/uploads/2010/11/costofcancer_summary.pdf</w:t>
        </w:r>
      </w:hyperlink>
      <w:r w:rsidRPr="0018472C">
        <w:rPr>
          <w:rStyle w:val="Hyperlink"/>
          <w:sz w:val="16"/>
          <w:szCs w:val="16"/>
          <w:lang w:val="en-AU"/>
        </w:rPr>
        <w:t>.</w:t>
      </w:r>
    </w:p>
  </w:footnote>
  <w:footnote w:id="81">
    <w:p w:rsidR="002239EF" w:rsidRPr="00B37CC4" w:rsidRDefault="002239EF" w:rsidP="00EF1EA3">
      <w:pPr>
        <w:pStyle w:val="FootnoteText"/>
        <w:ind w:left="709" w:hanging="709"/>
        <w:rPr>
          <w:lang w:val="en-AU"/>
        </w:rPr>
      </w:pPr>
      <w:r w:rsidRPr="00B37CC4">
        <w:rPr>
          <w:rStyle w:val="FootnoteReference"/>
          <w:sz w:val="16"/>
          <w:szCs w:val="16"/>
        </w:rPr>
        <w:footnoteRef/>
      </w:r>
      <w:r w:rsidRPr="00B37CC4">
        <w:rPr>
          <w:sz w:val="16"/>
          <w:szCs w:val="16"/>
        </w:rPr>
        <w:t xml:space="preserve"> </w:t>
      </w:r>
      <w:r>
        <w:rPr>
          <w:lang w:val="en-AU"/>
        </w:rPr>
        <w:tab/>
      </w:r>
      <w:r w:rsidRPr="00657AD8">
        <w:rPr>
          <w:rFonts w:cs="Arial"/>
          <w:sz w:val="16"/>
          <w:szCs w:val="16"/>
        </w:rPr>
        <w:t xml:space="preserve">NICNAS, </w:t>
      </w:r>
      <w:proofErr w:type="gramStart"/>
      <w:r w:rsidRPr="00657AD8">
        <w:rPr>
          <w:rFonts w:cs="Arial"/>
          <w:sz w:val="16"/>
          <w:szCs w:val="16"/>
        </w:rPr>
        <w:t>Defining</w:t>
      </w:r>
      <w:proofErr w:type="gramEnd"/>
      <w:r w:rsidRPr="00657AD8">
        <w:rPr>
          <w:rFonts w:cs="Arial"/>
          <w:sz w:val="16"/>
          <w:szCs w:val="16"/>
        </w:rPr>
        <w:t xml:space="preserve"> an industrial chemical, </w:t>
      </w:r>
      <w:r>
        <w:rPr>
          <w:rFonts w:cs="Arial"/>
          <w:sz w:val="16"/>
          <w:szCs w:val="16"/>
        </w:rPr>
        <w:t>viewed 11 July 2014,</w:t>
      </w:r>
      <w:r w:rsidRPr="00657AD8">
        <w:rPr>
          <w:rFonts w:cs="Arial"/>
          <w:sz w:val="16"/>
          <w:szCs w:val="16"/>
        </w:rPr>
        <w:t xml:space="preserve"> </w:t>
      </w:r>
      <w:hyperlink r:id="rId36" w:history="1">
        <w:r w:rsidRPr="00657AD8">
          <w:rPr>
            <w:rStyle w:val="Hyperlink"/>
            <w:rFonts w:cs="Arial"/>
            <w:sz w:val="16"/>
            <w:szCs w:val="16"/>
          </w:rPr>
          <w:t>http://www.nicnas.gov.au/regulation-and-compliance/nicnas-handbook/handbook-main-content/do-i-need-to-register-with-nicnas/what-is-an-industrial-chemical</w:t>
        </w:r>
      </w:hyperlink>
      <w:r w:rsidRPr="00657AD8">
        <w:rPr>
          <w:rFonts w:cs="Arial"/>
          <w:sz w:val="16"/>
          <w:szCs w:val="16"/>
        </w:rPr>
        <w:t>.</w:t>
      </w:r>
    </w:p>
  </w:footnote>
  <w:footnote w:id="82">
    <w:p w:rsidR="002239EF" w:rsidRPr="00657AD8" w:rsidRDefault="002239EF" w:rsidP="00EF1EA3">
      <w:pPr>
        <w:pStyle w:val="FootnoteText"/>
        <w:ind w:left="709" w:hanging="709"/>
        <w:rPr>
          <w:rFonts w:cs="Arial"/>
          <w:sz w:val="16"/>
          <w:szCs w:val="16"/>
          <w:lang w:val="en-AU"/>
        </w:rPr>
      </w:pPr>
      <w:r w:rsidRPr="00657AD8">
        <w:rPr>
          <w:rStyle w:val="FootnoteReference"/>
          <w:rFonts w:cs="Arial"/>
          <w:sz w:val="16"/>
          <w:szCs w:val="16"/>
        </w:rPr>
        <w:footnoteRef/>
      </w:r>
      <w:r w:rsidRPr="00657AD8">
        <w:rPr>
          <w:rFonts w:cs="Arial"/>
          <w:sz w:val="16"/>
          <w:szCs w:val="16"/>
        </w:rPr>
        <w:t xml:space="preserve"> </w:t>
      </w:r>
      <w:r w:rsidRPr="00657AD8">
        <w:rPr>
          <w:rFonts w:cs="Arial"/>
          <w:sz w:val="16"/>
          <w:szCs w:val="16"/>
          <w:lang w:val="en-AU"/>
        </w:rPr>
        <w:tab/>
        <w:t xml:space="preserve">Productivity Commission, </w:t>
      </w:r>
      <w:r w:rsidRPr="00657AD8">
        <w:rPr>
          <w:rFonts w:cs="Arial"/>
          <w:i/>
          <w:sz w:val="16"/>
          <w:szCs w:val="16"/>
          <w:lang w:val="en-AU"/>
        </w:rPr>
        <w:t>Chemicals and Plastics Regulation, Productivity Commission Inquiry Report, Forward,</w:t>
      </w:r>
      <w:r w:rsidRPr="00657AD8">
        <w:rPr>
          <w:rFonts w:cs="Arial"/>
          <w:sz w:val="16"/>
          <w:szCs w:val="16"/>
          <w:lang w:val="en-AU"/>
        </w:rPr>
        <w:t xml:space="preserve"> July</w:t>
      </w:r>
      <w:r>
        <w:rPr>
          <w:rFonts w:cs="Arial"/>
          <w:sz w:val="16"/>
          <w:szCs w:val="16"/>
          <w:lang w:val="en-AU"/>
        </w:rPr>
        <w:t> </w:t>
      </w:r>
      <w:r w:rsidRPr="00657AD8">
        <w:rPr>
          <w:rFonts w:cs="Arial"/>
          <w:sz w:val="16"/>
          <w:szCs w:val="16"/>
          <w:lang w:val="en-AU"/>
        </w:rPr>
        <w:t>2008,</w:t>
      </w:r>
      <w:r>
        <w:rPr>
          <w:rFonts w:cs="Arial"/>
          <w:sz w:val="16"/>
          <w:szCs w:val="16"/>
          <w:lang w:val="en-AU"/>
        </w:rPr>
        <w:t> </w:t>
      </w:r>
      <w:r w:rsidRPr="00657AD8">
        <w:rPr>
          <w:rFonts w:cs="Arial"/>
          <w:sz w:val="16"/>
          <w:szCs w:val="16"/>
          <w:lang w:val="en-AU"/>
        </w:rPr>
        <w:t>p.</w:t>
      </w:r>
      <w:r>
        <w:rPr>
          <w:rFonts w:cs="Arial"/>
          <w:sz w:val="16"/>
          <w:szCs w:val="16"/>
          <w:lang w:val="en-AU"/>
        </w:rPr>
        <w:t> </w:t>
      </w:r>
      <w:r w:rsidRPr="00657AD8">
        <w:rPr>
          <w:rFonts w:cs="Arial"/>
          <w:sz w:val="16"/>
          <w:szCs w:val="16"/>
          <w:lang w:val="en-AU"/>
        </w:rPr>
        <w:t>iii.</w:t>
      </w:r>
    </w:p>
  </w:footnote>
  <w:footnote w:id="83">
    <w:p w:rsidR="002239EF" w:rsidRPr="00657AD8" w:rsidRDefault="002239EF" w:rsidP="00EF1EA3">
      <w:pPr>
        <w:pStyle w:val="FootnoteText"/>
        <w:rPr>
          <w:sz w:val="16"/>
          <w:szCs w:val="16"/>
          <w:lang w:val="en-AU"/>
        </w:rPr>
      </w:pPr>
      <w:r w:rsidRPr="00657AD8">
        <w:rPr>
          <w:rStyle w:val="FootnoteReference"/>
          <w:sz w:val="16"/>
          <w:szCs w:val="16"/>
        </w:rPr>
        <w:footnoteRef/>
      </w:r>
      <w:r w:rsidRPr="00657AD8">
        <w:rPr>
          <w:sz w:val="16"/>
          <w:szCs w:val="16"/>
        </w:rPr>
        <w:t xml:space="preserve"> </w:t>
      </w:r>
      <w:r w:rsidRPr="00657AD8">
        <w:rPr>
          <w:sz w:val="16"/>
          <w:szCs w:val="16"/>
        </w:rPr>
        <w:tab/>
        <w:t xml:space="preserve">Common negative </w:t>
      </w:r>
      <w:r w:rsidRPr="00657AD8">
        <w:rPr>
          <w:rFonts w:cs="Arial"/>
          <w:bCs/>
          <w:kern w:val="36"/>
          <w:sz w:val="16"/>
          <w:szCs w:val="16"/>
          <w:lang w:val="en"/>
        </w:rPr>
        <w:t>externalities include pollution and exposure to hazardous chemicals.</w:t>
      </w:r>
    </w:p>
  </w:footnote>
  <w:footnote w:id="84">
    <w:p w:rsidR="002239EF" w:rsidRPr="0039736F" w:rsidRDefault="002239EF" w:rsidP="00EF1EA3">
      <w:pPr>
        <w:pStyle w:val="FootnoteText"/>
        <w:rPr>
          <w:lang w:val="en-AU"/>
        </w:rPr>
      </w:pPr>
      <w:r w:rsidRPr="00657AD8">
        <w:rPr>
          <w:rStyle w:val="FootnoteReference"/>
          <w:sz w:val="16"/>
        </w:rPr>
        <w:footnoteRef/>
      </w:r>
      <w:r w:rsidRPr="00657AD8">
        <w:rPr>
          <w:sz w:val="16"/>
        </w:rPr>
        <w:t xml:space="preserve"> </w:t>
      </w:r>
      <w:r w:rsidRPr="00657AD8">
        <w:rPr>
          <w:sz w:val="16"/>
        </w:rPr>
        <w:tab/>
      </w:r>
      <w:r w:rsidRPr="00657AD8">
        <w:rPr>
          <w:i/>
          <w:sz w:val="16"/>
          <w:szCs w:val="16"/>
          <w:lang w:val="en-AU"/>
        </w:rPr>
        <w:t xml:space="preserve">The Australian Government Guide to Regulation, </w:t>
      </w:r>
      <w:r w:rsidRPr="00657AD8">
        <w:rPr>
          <w:sz w:val="16"/>
          <w:szCs w:val="16"/>
          <w:lang w:val="en-AU"/>
        </w:rPr>
        <w:t>p.</w:t>
      </w:r>
      <w:r>
        <w:rPr>
          <w:sz w:val="16"/>
          <w:szCs w:val="16"/>
          <w:lang w:val="en-AU"/>
        </w:rPr>
        <w:t> </w:t>
      </w:r>
      <w:r w:rsidRPr="00657AD8">
        <w:rPr>
          <w:sz w:val="16"/>
          <w:szCs w:val="16"/>
          <w:lang w:val="en-AU"/>
        </w:rPr>
        <w:t>18.</w:t>
      </w:r>
    </w:p>
  </w:footnote>
  <w:footnote w:id="85">
    <w:p w:rsidR="002239EF" w:rsidRPr="00657AD8" w:rsidRDefault="002239EF" w:rsidP="00EF1EA3">
      <w:pPr>
        <w:pStyle w:val="FootnoteText"/>
        <w:ind w:left="709" w:hanging="709"/>
        <w:rPr>
          <w:rFonts w:cs="Arial"/>
          <w:sz w:val="16"/>
          <w:szCs w:val="16"/>
          <w:lang w:val="en-AU"/>
        </w:rPr>
      </w:pPr>
      <w:r w:rsidRPr="00657AD8">
        <w:rPr>
          <w:rStyle w:val="FootnoteReference"/>
          <w:rFonts w:cs="Arial"/>
          <w:sz w:val="16"/>
          <w:szCs w:val="16"/>
        </w:rPr>
        <w:footnoteRef/>
      </w:r>
      <w:r w:rsidRPr="00657AD8">
        <w:rPr>
          <w:rFonts w:cs="Arial"/>
          <w:sz w:val="16"/>
          <w:szCs w:val="16"/>
        </w:rPr>
        <w:t xml:space="preserve"> </w:t>
      </w:r>
      <w:r w:rsidRPr="00657AD8">
        <w:rPr>
          <w:rFonts w:cs="Arial"/>
          <w:sz w:val="16"/>
          <w:szCs w:val="16"/>
          <w:lang w:val="en-AU"/>
        </w:rPr>
        <w:tab/>
        <w:t xml:space="preserve">Productivity Commission, </w:t>
      </w:r>
      <w:r w:rsidRPr="00657AD8">
        <w:rPr>
          <w:rFonts w:cs="Arial"/>
          <w:i/>
          <w:sz w:val="16"/>
          <w:szCs w:val="16"/>
          <w:lang w:val="en-AU"/>
        </w:rPr>
        <w:t>Chemicals and Plastics Regulation, Productivity Commission Inquiry Report, Overview,</w:t>
      </w:r>
      <w:r w:rsidRPr="00657AD8">
        <w:rPr>
          <w:rFonts w:cs="Arial"/>
          <w:sz w:val="16"/>
          <w:szCs w:val="16"/>
          <w:lang w:val="en-AU"/>
        </w:rPr>
        <w:t xml:space="preserve"> July</w:t>
      </w:r>
      <w:r>
        <w:rPr>
          <w:rFonts w:cs="Arial"/>
          <w:sz w:val="16"/>
          <w:szCs w:val="16"/>
          <w:lang w:val="en-AU"/>
        </w:rPr>
        <w:t> </w:t>
      </w:r>
      <w:r w:rsidRPr="00657AD8">
        <w:rPr>
          <w:rFonts w:cs="Arial"/>
          <w:sz w:val="16"/>
          <w:szCs w:val="16"/>
          <w:lang w:val="en-AU"/>
        </w:rPr>
        <w:t>2008, p.</w:t>
      </w:r>
      <w:r>
        <w:rPr>
          <w:rFonts w:cs="Arial"/>
          <w:sz w:val="16"/>
          <w:szCs w:val="16"/>
          <w:lang w:val="en-AU"/>
        </w:rPr>
        <w:t> </w:t>
      </w:r>
      <w:r w:rsidRPr="00657AD8">
        <w:rPr>
          <w:rFonts w:cs="Arial"/>
          <w:sz w:val="16"/>
          <w:szCs w:val="16"/>
          <w:lang w:val="en-AU"/>
        </w:rPr>
        <w:t>xxvi.</w:t>
      </w:r>
    </w:p>
  </w:footnote>
  <w:footnote w:id="86">
    <w:p w:rsidR="002239EF" w:rsidRPr="00657AD8" w:rsidRDefault="002239EF" w:rsidP="00EF1EA3">
      <w:pPr>
        <w:pStyle w:val="FootnoteText"/>
        <w:ind w:left="709" w:hanging="709"/>
        <w:rPr>
          <w:rFonts w:cs="Arial"/>
          <w:sz w:val="16"/>
          <w:szCs w:val="16"/>
          <w:lang w:val="en-AU"/>
        </w:rPr>
      </w:pPr>
      <w:r w:rsidRPr="00657AD8">
        <w:rPr>
          <w:rStyle w:val="FootnoteReference"/>
          <w:rFonts w:cs="Arial"/>
          <w:sz w:val="16"/>
          <w:szCs w:val="16"/>
        </w:rPr>
        <w:footnoteRef/>
      </w:r>
      <w:r w:rsidRPr="00657AD8">
        <w:rPr>
          <w:rFonts w:cs="Arial"/>
          <w:sz w:val="16"/>
          <w:szCs w:val="16"/>
        </w:rPr>
        <w:t xml:space="preserve"> </w:t>
      </w:r>
      <w:r w:rsidRPr="00657AD8">
        <w:rPr>
          <w:rFonts w:cs="Arial"/>
          <w:sz w:val="16"/>
          <w:szCs w:val="16"/>
          <w:lang w:val="en-AU"/>
        </w:rPr>
        <w:tab/>
      </w:r>
      <w:r>
        <w:rPr>
          <w:rFonts w:cs="Arial"/>
          <w:sz w:val="16"/>
          <w:szCs w:val="16"/>
          <w:lang w:val="en-AU"/>
        </w:rPr>
        <w:t xml:space="preserve">ibid., </w:t>
      </w:r>
      <w:r w:rsidRPr="00657AD8">
        <w:rPr>
          <w:rFonts w:cs="Arial"/>
          <w:sz w:val="16"/>
          <w:szCs w:val="16"/>
          <w:lang w:val="en-AU"/>
        </w:rPr>
        <w:t>p.</w:t>
      </w:r>
      <w:r>
        <w:rPr>
          <w:rFonts w:cs="Arial"/>
          <w:sz w:val="16"/>
          <w:szCs w:val="16"/>
          <w:lang w:val="en-AU"/>
        </w:rPr>
        <w:t> </w:t>
      </w:r>
      <w:r w:rsidRPr="00657AD8">
        <w:rPr>
          <w:rFonts w:cs="Arial"/>
          <w:sz w:val="16"/>
          <w:szCs w:val="16"/>
          <w:lang w:val="en-AU"/>
        </w:rPr>
        <w:t>xxv.</w:t>
      </w:r>
    </w:p>
  </w:footnote>
  <w:footnote w:id="87">
    <w:p w:rsidR="002239EF" w:rsidRPr="00657AD8" w:rsidRDefault="002239EF" w:rsidP="00EF1EA3">
      <w:pPr>
        <w:pStyle w:val="FootnoteText"/>
        <w:ind w:left="709" w:hanging="709"/>
        <w:rPr>
          <w:rFonts w:cs="Arial"/>
          <w:sz w:val="16"/>
          <w:szCs w:val="16"/>
          <w:lang w:val="en-AU"/>
        </w:rPr>
      </w:pPr>
      <w:r w:rsidRPr="00657AD8">
        <w:rPr>
          <w:rStyle w:val="FootnoteReference"/>
          <w:rFonts w:cs="Arial"/>
          <w:sz w:val="16"/>
          <w:szCs w:val="16"/>
        </w:rPr>
        <w:footnoteRef/>
      </w:r>
      <w:r w:rsidRPr="00657AD8">
        <w:rPr>
          <w:rFonts w:cs="Arial"/>
          <w:sz w:val="16"/>
          <w:szCs w:val="16"/>
        </w:rPr>
        <w:t xml:space="preserve"> </w:t>
      </w:r>
      <w:r w:rsidRPr="00657AD8">
        <w:rPr>
          <w:rFonts w:cs="Arial"/>
          <w:sz w:val="16"/>
          <w:szCs w:val="16"/>
          <w:lang w:val="en-AU"/>
        </w:rPr>
        <w:tab/>
        <w:t>United Nations Environment Program DTIE / Chemicals Branch, The Chemicals in Products Project: Case Study of the Textiles Sector, 2001, p.</w:t>
      </w:r>
      <w:r>
        <w:rPr>
          <w:rFonts w:cs="Arial"/>
          <w:sz w:val="16"/>
          <w:szCs w:val="16"/>
          <w:lang w:val="en-AU"/>
        </w:rPr>
        <w:t> </w:t>
      </w:r>
      <w:r w:rsidRPr="00657AD8">
        <w:rPr>
          <w:rFonts w:cs="Arial"/>
          <w:sz w:val="16"/>
          <w:szCs w:val="16"/>
          <w:lang w:val="en-AU"/>
        </w:rPr>
        <w:t>v.</w:t>
      </w:r>
    </w:p>
  </w:footnote>
  <w:footnote w:id="88">
    <w:p w:rsidR="002239EF" w:rsidRPr="00657AD8" w:rsidRDefault="002239EF" w:rsidP="00EF1EA3">
      <w:pPr>
        <w:pStyle w:val="FootnoteText"/>
        <w:rPr>
          <w:rFonts w:cs="Arial"/>
          <w:sz w:val="16"/>
          <w:szCs w:val="16"/>
          <w:lang w:val="en-AU"/>
        </w:rPr>
      </w:pPr>
      <w:r w:rsidRPr="00657AD8">
        <w:rPr>
          <w:rStyle w:val="FootnoteReference"/>
          <w:rFonts w:cs="Arial"/>
          <w:sz w:val="16"/>
          <w:szCs w:val="16"/>
        </w:rPr>
        <w:footnoteRef/>
      </w:r>
      <w:r w:rsidRPr="00657AD8">
        <w:rPr>
          <w:rFonts w:cs="Arial"/>
          <w:sz w:val="16"/>
          <w:szCs w:val="16"/>
        </w:rPr>
        <w:t xml:space="preserve"> </w:t>
      </w:r>
      <w:r w:rsidRPr="00657AD8">
        <w:rPr>
          <w:rFonts w:cs="Arial"/>
          <w:sz w:val="16"/>
          <w:szCs w:val="16"/>
          <w:lang w:val="en-AU"/>
        </w:rPr>
        <w:tab/>
        <w:t>ibid.</w:t>
      </w:r>
    </w:p>
  </w:footnote>
  <w:footnote w:id="89">
    <w:p w:rsidR="002239EF" w:rsidRPr="00657AD8" w:rsidRDefault="002239EF" w:rsidP="00EF1EA3">
      <w:pPr>
        <w:pStyle w:val="FootnoteText"/>
        <w:rPr>
          <w:sz w:val="16"/>
          <w:lang w:val="en-AU"/>
        </w:rPr>
      </w:pPr>
      <w:r w:rsidRPr="00657AD8">
        <w:rPr>
          <w:rStyle w:val="FootnoteReference"/>
          <w:sz w:val="16"/>
        </w:rPr>
        <w:footnoteRef/>
      </w:r>
      <w:r w:rsidRPr="00657AD8">
        <w:rPr>
          <w:sz w:val="16"/>
        </w:rPr>
        <w:t xml:space="preserve"> </w:t>
      </w:r>
      <w:r w:rsidRPr="00657AD8">
        <w:rPr>
          <w:sz w:val="16"/>
        </w:rPr>
        <w:tab/>
      </w:r>
      <w:r w:rsidRPr="00657AD8">
        <w:rPr>
          <w:rFonts w:cs="Arial"/>
          <w:bCs/>
          <w:color w:val="000000"/>
          <w:sz w:val="16"/>
          <w:szCs w:val="16"/>
          <w:lang w:eastAsia="en-AU"/>
        </w:rPr>
        <w:t xml:space="preserve">European Commission, Flash </w:t>
      </w:r>
      <w:r w:rsidRPr="00657AD8">
        <w:rPr>
          <w:rFonts w:cs="Arial"/>
          <w:bCs/>
          <w:iCs/>
          <w:color w:val="000000"/>
          <w:sz w:val="16"/>
          <w:szCs w:val="16"/>
          <w:lang w:eastAsia="en-AU"/>
        </w:rPr>
        <w:t>Eurobarometer</w:t>
      </w:r>
      <w:r>
        <w:rPr>
          <w:rFonts w:cs="Arial"/>
          <w:bCs/>
          <w:color w:val="000000"/>
          <w:sz w:val="16"/>
          <w:szCs w:val="16"/>
          <w:lang w:eastAsia="en-AU"/>
        </w:rPr>
        <w:t> </w:t>
      </w:r>
      <w:r w:rsidRPr="00657AD8">
        <w:rPr>
          <w:rFonts w:cs="Arial"/>
          <w:bCs/>
          <w:color w:val="000000"/>
          <w:sz w:val="16"/>
          <w:szCs w:val="16"/>
          <w:lang w:eastAsia="en-AU"/>
        </w:rPr>
        <w:t xml:space="preserve">361, </w:t>
      </w:r>
      <w:r w:rsidRPr="00657AD8">
        <w:rPr>
          <w:rFonts w:cs="Arial"/>
          <w:bCs/>
          <w:i/>
          <w:color w:val="000000"/>
          <w:sz w:val="16"/>
          <w:szCs w:val="16"/>
          <w:lang w:eastAsia="en-AU"/>
        </w:rPr>
        <w:t>Chemicals Report</w:t>
      </w:r>
      <w:r w:rsidRPr="00657AD8">
        <w:rPr>
          <w:rFonts w:cs="Arial"/>
          <w:bCs/>
          <w:color w:val="000000"/>
          <w:sz w:val="16"/>
          <w:szCs w:val="16"/>
          <w:lang w:eastAsia="en-AU"/>
        </w:rPr>
        <w:t>, 2013, p.</w:t>
      </w:r>
      <w:r>
        <w:rPr>
          <w:rFonts w:cs="Arial"/>
          <w:bCs/>
          <w:color w:val="000000"/>
          <w:sz w:val="16"/>
          <w:szCs w:val="16"/>
          <w:lang w:eastAsia="en-AU"/>
        </w:rPr>
        <w:t> </w:t>
      </w:r>
      <w:r w:rsidRPr="00657AD8">
        <w:rPr>
          <w:rFonts w:cs="Arial"/>
          <w:bCs/>
          <w:color w:val="000000"/>
          <w:sz w:val="16"/>
          <w:szCs w:val="16"/>
          <w:lang w:eastAsia="en-AU"/>
        </w:rPr>
        <w:t>8.</w:t>
      </w:r>
    </w:p>
  </w:footnote>
  <w:footnote w:id="90">
    <w:p w:rsidR="002239EF" w:rsidRPr="00657AD8" w:rsidRDefault="002239EF" w:rsidP="00EF1EA3">
      <w:pPr>
        <w:pStyle w:val="FootnoteText"/>
        <w:ind w:left="709" w:hanging="709"/>
        <w:rPr>
          <w:rFonts w:cs="Arial"/>
          <w:sz w:val="16"/>
          <w:szCs w:val="16"/>
          <w:lang w:val="en-AU"/>
        </w:rPr>
      </w:pPr>
      <w:r w:rsidRPr="00657AD8">
        <w:rPr>
          <w:rStyle w:val="FootnoteReference"/>
          <w:rFonts w:cs="Arial"/>
          <w:sz w:val="16"/>
          <w:szCs w:val="16"/>
        </w:rPr>
        <w:footnoteRef/>
      </w:r>
      <w:r w:rsidRPr="00657AD8">
        <w:rPr>
          <w:rFonts w:cs="Arial"/>
          <w:sz w:val="16"/>
          <w:szCs w:val="16"/>
        </w:rPr>
        <w:t xml:space="preserve"> </w:t>
      </w:r>
      <w:r w:rsidRPr="00657AD8">
        <w:rPr>
          <w:rFonts w:cs="Arial"/>
          <w:sz w:val="16"/>
          <w:szCs w:val="16"/>
          <w:lang w:val="en-AU"/>
        </w:rPr>
        <w:tab/>
        <w:t>United Nations Environment Program DTIE / Chemicals Branch, The Chemicals in Products Project: Case Study of the Textiles Sector, 2001, p.</w:t>
      </w:r>
      <w:r>
        <w:rPr>
          <w:rFonts w:cs="Arial"/>
          <w:sz w:val="16"/>
          <w:szCs w:val="16"/>
          <w:lang w:val="en-AU"/>
        </w:rPr>
        <w:t> </w:t>
      </w:r>
      <w:r w:rsidRPr="00657AD8">
        <w:rPr>
          <w:rFonts w:cs="Arial"/>
          <w:sz w:val="16"/>
          <w:szCs w:val="16"/>
          <w:lang w:val="en-AU"/>
        </w:rPr>
        <w:t>v.</w:t>
      </w:r>
    </w:p>
  </w:footnote>
  <w:footnote w:id="91">
    <w:p w:rsidR="002239EF" w:rsidRPr="00682995" w:rsidRDefault="002239EF" w:rsidP="00EF1EA3">
      <w:pPr>
        <w:pStyle w:val="ListParagraph"/>
        <w:ind w:left="709" w:hanging="709"/>
        <w:contextualSpacing w:val="0"/>
        <w:rPr>
          <w:sz w:val="16"/>
          <w:szCs w:val="16"/>
        </w:rPr>
      </w:pPr>
      <w:r w:rsidRPr="00682995">
        <w:rPr>
          <w:rStyle w:val="FootnoteReference"/>
          <w:sz w:val="16"/>
          <w:szCs w:val="16"/>
        </w:rPr>
        <w:footnoteRef/>
      </w:r>
      <w:r w:rsidRPr="00682995">
        <w:rPr>
          <w:sz w:val="16"/>
          <w:szCs w:val="16"/>
        </w:rPr>
        <w:t xml:space="preserve"> </w:t>
      </w:r>
      <w:r w:rsidRPr="00682995">
        <w:rPr>
          <w:sz w:val="16"/>
          <w:szCs w:val="16"/>
        </w:rPr>
        <w:tab/>
      </w:r>
      <w:r w:rsidRPr="00682995">
        <w:rPr>
          <w:color w:val="000000"/>
          <w:sz w:val="16"/>
          <w:szCs w:val="16"/>
        </w:rPr>
        <w:t xml:space="preserve">The Economist, </w:t>
      </w:r>
      <w:r w:rsidRPr="00682995">
        <w:rPr>
          <w:i/>
          <w:color w:val="000000"/>
          <w:sz w:val="16"/>
          <w:szCs w:val="16"/>
        </w:rPr>
        <w:t>Reshoring manufacturing, Coming Home</w:t>
      </w:r>
      <w:r w:rsidRPr="00682995">
        <w:rPr>
          <w:color w:val="000000"/>
          <w:sz w:val="16"/>
          <w:szCs w:val="16"/>
        </w:rPr>
        <w:t>, 19</w:t>
      </w:r>
      <w:r>
        <w:rPr>
          <w:color w:val="000000"/>
          <w:sz w:val="16"/>
          <w:szCs w:val="16"/>
        </w:rPr>
        <w:t> </w:t>
      </w:r>
      <w:r w:rsidRPr="00682995">
        <w:rPr>
          <w:color w:val="000000"/>
          <w:sz w:val="16"/>
          <w:szCs w:val="16"/>
        </w:rPr>
        <w:t>January</w:t>
      </w:r>
      <w:r>
        <w:rPr>
          <w:color w:val="000000"/>
          <w:sz w:val="16"/>
          <w:szCs w:val="16"/>
        </w:rPr>
        <w:t> </w:t>
      </w:r>
      <w:r w:rsidRPr="00682995">
        <w:rPr>
          <w:color w:val="000000"/>
          <w:sz w:val="16"/>
          <w:szCs w:val="16"/>
        </w:rPr>
        <w:t xml:space="preserve">2013. </w:t>
      </w:r>
      <w:r>
        <w:rPr>
          <w:color w:val="000000"/>
          <w:sz w:val="16"/>
          <w:szCs w:val="16"/>
        </w:rPr>
        <w:t xml:space="preserve">viewed 17 September 2014, </w:t>
      </w:r>
      <w:hyperlink r:id="rId37" w:history="1">
        <w:r w:rsidRPr="00682995">
          <w:rPr>
            <w:rStyle w:val="Hyperlink"/>
            <w:sz w:val="16"/>
            <w:szCs w:val="16"/>
          </w:rPr>
          <w:t>http://www.economist.com/node/21569570/print</w:t>
        </w:r>
      </w:hyperlink>
      <w:r w:rsidRPr="00682995">
        <w:rPr>
          <w:rStyle w:val="Hyperlink"/>
          <w:sz w:val="16"/>
          <w:szCs w:val="16"/>
        </w:rPr>
        <w:t>.</w:t>
      </w:r>
    </w:p>
  </w:footnote>
  <w:footnote w:id="92">
    <w:p w:rsidR="002239EF" w:rsidRPr="00682995" w:rsidRDefault="002239EF" w:rsidP="00EF1EA3">
      <w:pPr>
        <w:pStyle w:val="ListParagraph"/>
        <w:ind w:left="709" w:hanging="709"/>
        <w:contextualSpacing w:val="0"/>
        <w:rPr>
          <w:color w:val="1F497D"/>
          <w:sz w:val="16"/>
          <w:szCs w:val="16"/>
        </w:rPr>
      </w:pPr>
      <w:r w:rsidRPr="00682995">
        <w:rPr>
          <w:rStyle w:val="FootnoteReference"/>
          <w:color w:val="000000"/>
          <w:sz w:val="16"/>
          <w:szCs w:val="16"/>
        </w:rPr>
        <w:footnoteRef/>
      </w:r>
      <w:r w:rsidRPr="00682995">
        <w:rPr>
          <w:color w:val="000000"/>
          <w:sz w:val="16"/>
          <w:szCs w:val="16"/>
        </w:rPr>
        <w:t xml:space="preserve"> </w:t>
      </w:r>
      <w:r w:rsidRPr="00682995">
        <w:rPr>
          <w:color w:val="000000"/>
          <w:sz w:val="16"/>
          <w:szCs w:val="16"/>
        </w:rPr>
        <w:tab/>
      </w:r>
      <w:r w:rsidRPr="00682995">
        <w:rPr>
          <w:i/>
          <w:color w:val="000000"/>
          <w:sz w:val="16"/>
          <w:szCs w:val="16"/>
        </w:rPr>
        <w:t>How to manage and mitigate offshore risks</w:t>
      </w:r>
      <w:r w:rsidRPr="00682995">
        <w:rPr>
          <w:color w:val="000000"/>
          <w:sz w:val="16"/>
          <w:szCs w:val="16"/>
        </w:rPr>
        <w:t xml:space="preserve">, </w:t>
      </w:r>
      <w:r>
        <w:rPr>
          <w:color w:val="000000"/>
          <w:sz w:val="16"/>
          <w:szCs w:val="16"/>
        </w:rPr>
        <w:t xml:space="preserve">viewed 17 September 2014, </w:t>
      </w:r>
      <w:hyperlink r:id="rId38" w:history="1">
        <w:r w:rsidRPr="00682995">
          <w:rPr>
            <w:rStyle w:val="Hyperlink"/>
            <w:sz w:val="16"/>
            <w:szCs w:val="16"/>
          </w:rPr>
          <w:t>http://outsourcing-center.com/2009-06-how-to-manage-and-mitigate-offshore-risks-article-37409.html</w:t>
        </w:r>
      </w:hyperlink>
      <w:r w:rsidRPr="00682995">
        <w:rPr>
          <w:rStyle w:val="Hyperlink"/>
          <w:sz w:val="16"/>
          <w:szCs w:val="16"/>
        </w:rPr>
        <w:t>.</w:t>
      </w:r>
    </w:p>
  </w:footnote>
  <w:footnote w:id="93">
    <w:p w:rsidR="002239EF" w:rsidRPr="00D330EE" w:rsidRDefault="002239EF" w:rsidP="0081579D">
      <w:pPr>
        <w:pStyle w:val="FootnoteText"/>
        <w:ind w:left="709" w:hanging="709"/>
        <w:rPr>
          <w:lang w:val="en-AU"/>
        </w:rPr>
      </w:pPr>
      <w:r w:rsidRPr="009F1FDF">
        <w:rPr>
          <w:rStyle w:val="FootnoteReference"/>
          <w:sz w:val="16"/>
          <w:szCs w:val="16"/>
        </w:rPr>
        <w:footnoteRef/>
      </w:r>
      <w:r>
        <w:t xml:space="preserve"> </w:t>
      </w:r>
      <w:r>
        <w:rPr>
          <w:lang w:val="en-AU"/>
        </w:rPr>
        <w:tab/>
      </w:r>
      <w:r w:rsidRPr="006E7881">
        <w:rPr>
          <w:sz w:val="16"/>
          <w:szCs w:val="16"/>
          <w:lang w:val="en-AU"/>
        </w:rPr>
        <w:t xml:space="preserve">Australian Bureau of Statistics, </w:t>
      </w:r>
      <w:r w:rsidRPr="006E7881">
        <w:rPr>
          <w:i/>
          <w:sz w:val="16"/>
          <w:szCs w:val="16"/>
          <w:lang w:val="en-AU"/>
        </w:rPr>
        <w:t>8165.0 Counts of Australian Businesses, including Entries and Exits, June 2009 to June 2013</w:t>
      </w:r>
      <w:r w:rsidRPr="006E7881">
        <w:rPr>
          <w:sz w:val="16"/>
          <w:szCs w:val="16"/>
          <w:lang w:val="en-AU"/>
        </w:rPr>
        <w:t xml:space="preserve">, Release date 31 May 2014. Available: </w:t>
      </w:r>
      <w:hyperlink r:id="rId39" w:history="1">
        <w:r w:rsidRPr="006E7881">
          <w:rPr>
            <w:rStyle w:val="Hyperlink"/>
            <w:sz w:val="16"/>
            <w:szCs w:val="16"/>
            <w:lang w:val="en-AU"/>
          </w:rPr>
          <w:t>http://www.abs.gov.au/AUSSTATS/abs@.nsf/DetailsPage/8165.0Jun%202009%20to%20Jun%202013?OpenDocument</w:t>
        </w:r>
      </w:hyperlink>
    </w:p>
  </w:footnote>
  <w:footnote w:id="94">
    <w:p w:rsidR="002239EF" w:rsidRPr="0018472C" w:rsidRDefault="002239EF" w:rsidP="0081579D">
      <w:pPr>
        <w:pStyle w:val="FootnoteText"/>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lang w:val="en-AU"/>
        </w:rPr>
        <w:tab/>
      </w:r>
      <w:proofErr w:type="spellStart"/>
      <w:r w:rsidRPr="0018472C">
        <w:rPr>
          <w:sz w:val="16"/>
          <w:szCs w:val="16"/>
          <w:lang w:val="en-AU"/>
        </w:rPr>
        <w:t>IBIS</w:t>
      </w:r>
      <w:r w:rsidRPr="0018472C">
        <w:rPr>
          <w:i/>
          <w:sz w:val="16"/>
          <w:szCs w:val="16"/>
          <w:lang w:val="en-AU"/>
        </w:rPr>
        <w:t>World</w:t>
      </w:r>
      <w:proofErr w:type="spellEnd"/>
      <w:r w:rsidRPr="0018472C">
        <w:rPr>
          <w:sz w:val="16"/>
          <w:szCs w:val="16"/>
          <w:lang w:val="en-AU"/>
        </w:rPr>
        <w:t xml:space="preserve">, </w:t>
      </w:r>
      <w:r w:rsidRPr="0018472C">
        <w:rPr>
          <w:i/>
          <w:sz w:val="16"/>
          <w:szCs w:val="16"/>
          <w:lang w:val="en-AU"/>
        </w:rPr>
        <w:t>Clothing Retailing in Australia</w:t>
      </w:r>
      <w:r w:rsidRPr="0018472C">
        <w:rPr>
          <w:sz w:val="16"/>
          <w:szCs w:val="16"/>
          <w:lang w:val="en-AU"/>
        </w:rPr>
        <w:t>, Industry Report</w:t>
      </w:r>
      <w:r>
        <w:rPr>
          <w:sz w:val="16"/>
          <w:szCs w:val="16"/>
          <w:lang w:val="en-AU"/>
        </w:rPr>
        <w:t> </w:t>
      </w:r>
      <w:r w:rsidRPr="0018472C">
        <w:rPr>
          <w:sz w:val="16"/>
          <w:szCs w:val="16"/>
          <w:lang w:val="en-AU"/>
        </w:rPr>
        <w:t xml:space="preserve">G4251, </w:t>
      </w:r>
      <w:r>
        <w:rPr>
          <w:sz w:val="16"/>
          <w:szCs w:val="16"/>
          <w:lang w:val="en-AU"/>
        </w:rPr>
        <w:t>November </w:t>
      </w:r>
      <w:r w:rsidRPr="0018472C">
        <w:rPr>
          <w:sz w:val="16"/>
          <w:szCs w:val="16"/>
          <w:lang w:val="en-AU"/>
        </w:rPr>
        <w:t>2014.</w:t>
      </w:r>
    </w:p>
  </w:footnote>
  <w:footnote w:id="95">
    <w:p w:rsidR="002239EF" w:rsidRPr="00D330EE" w:rsidRDefault="002239EF">
      <w:pPr>
        <w:pStyle w:val="FootnoteText"/>
        <w:rPr>
          <w:lang w:val="en-AU"/>
        </w:rPr>
      </w:pPr>
      <w:r w:rsidRPr="009F1FDF">
        <w:rPr>
          <w:rStyle w:val="FootnoteReference"/>
          <w:sz w:val="16"/>
          <w:szCs w:val="16"/>
        </w:rPr>
        <w:footnoteRef/>
      </w:r>
      <w:r>
        <w:t xml:space="preserve"> </w:t>
      </w:r>
      <w:r>
        <w:rPr>
          <w:lang w:val="en-AU"/>
        </w:rPr>
        <w:tab/>
      </w:r>
      <w:r w:rsidRPr="00D330EE">
        <w:rPr>
          <w:sz w:val="16"/>
          <w:szCs w:val="16"/>
          <w:lang w:val="en-AU"/>
        </w:rPr>
        <w:t>Ibid.</w:t>
      </w:r>
    </w:p>
  </w:footnote>
  <w:footnote w:id="96">
    <w:p w:rsidR="002239EF" w:rsidRPr="0018472C" w:rsidRDefault="002239EF" w:rsidP="0081579D">
      <w:pPr>
        <w:pStyle w:val="FootnoteText"/>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lang w:val="en-AU"/>
        </w:rPr>
        <w:tab/>
      </w:r>
      <w:proofErr w:type="spellStart"/>
      <w:r w:rsidRPr="0018472C">
        <w:rPr>
          <w:sz w:val="16"/>
          <w:szCs w:val="16"/>
          <w:lang w:val="en-AU"/>
        </w:rPr>
        <w:t>IBIS</w:t>
      </w:r>
      <w:r w:rsidRPr="0018472C">
        <w:rPr>
          <w:i/>
          <w:sz w:val="16"/>
          <w:szCs w:val="16"/>
          <w:lang w:val="en-AU"/>
        </w:rPr>
        <w:t>World</w:t>
      </w:r>
      <w:proofErr w:type="spellEnd"/>
      <w:r w:rsidRPr="0018472C">
        <w:rPr>
          <w:sz w:val="16"/>
          <w:szCs w:val="16"/>
          <w:lang w:val="en-AU"/>
        </w:rPr>
        <w:t xml:space="preserve">, </w:t>
      </w:r>
      <w:r w:rsidRPr="0018472C">
        <w:rPr>
          <w:i/>
          <w:sz w:val="16"/>
          <w:szCs w:val="16"/>
          <w:lang w:val="en-AU"/>
        </w:rPr>
        <w:t>Fabric Retailing in Australia</w:t>
      </w:r>
      <w:r w:rsidRPr="0018472C">
        <w:rPr>
          <w:sz w:val="16"/>
          <w:szCs w:val="16"/>
          <w:lang w:val="en-AU"/>
        </w:rPr>
        <w:t>, Industry Report</w:t>
      </w:r>
      <w:r>
        <w:rPr>
          <w:sz w:val="16"/>
          <w:szCs w:val="16"/>
          <w:lang w:val="en-AU"/>
        </w:rPr>
        <w:t> </w:t>
      </w:r>
      <w:r w:rsidRPr="0018472C">
        <w:rPr>
          <w:sz w:val="16"/>
          <w:szCs w:val="16"/>
          <w:lang w:val="en-AU"/>
        </w:rPr>
        <w:t>G4214, January</w:t>
      </w:r>
      <w:r>
        <w:rPr>
          <w:sz w:val="16"/>
          <w:szCs w:val="16"/>
          <w:lang w:val="en-AU"/>
        </w:rPr>
        <w:t> </w:t>
      </w:r>
      <w:r w:rsidRPr="0018472C">
        <w:rPr>
          <w:sz w:val="16"/>
          <w:szCs w:val="16"/>
          <w:lang w:val="en-AU"/>
        </w:rPr>
        <w:t>2014.</w:t>
      </w:r>
    </w:p>
  </w:footnote>
  <w:footnote w:id="97">
    <w:p w:rsidR="002239EF" w:rsidRPr="00D330EE" w:rsidRDefault="002239EF">
      <w:pPr>
        <w:pStyle w:val="FootnoteText"/>
        <w:rPr>
          <w:lang w:val="en-AU"/>
        </w:rPr>
      </w:pPr>
      <w:r w:rsidRPr="009F1FDF">
        <w:rPr>
          <w:rStyle w:val="FootnoteReference"/>
          <w:sz w:val="16"/>
          <w:szCs w:val="16"/>
        </w:rPr>
        <w:footnoteRef/>
      </w:r>
      <w:r>
        <w:t xml:space="preserve"> </w:t>
      </w:r>
      <w:r>
        <w:rPr>
          <w:lang w:val="en-AU"/>
        </w:rPr>
        <w:tab/>
      </w:r>
      <w:r w:rsidRPr="00D330EE">
        <w:rPr>
          <w:sz w:val="16"/>
          <w:szCs w:val="16"/>
          <w:lang w:val="en-AU"/>
        </w:rPr>
        <w:t>Ibid.</w:t>
      </w:r>
    </w:p>
  </w:footnote>
  <w:footnote w:id="98">
    <w:p w:rsidR="002239EF" w:rsidRPr="0018472C" w:rsidRDefault="002239EF" w:rsidP="0081579D">
      <w:pPr>
        <w:pStyle w:val="FootnoteText"/>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lang w:val="en-AU"/>
        </w:rPr>
        <w:tab/>
      </w:r>
      <w:proofErr w:type="spellStart"/>
      <w:r w:rsidRPr="0018472C">
        <w:rPr>
          <w:sz w:val="16"/>
          <w:szCs w:val="16"/>
          <w:lang w:val="en-AU"/>
        </w:rPr>
        <w:t>IBIS</w:t>
      </w:r>
      <w:r w:rsidRPr="0018472C">
        <w:rPr>
          <w:i/>
          <w:sz w:val="16"/>
          <w:szCs w:val="16"/>
          <w:lang w:val="en-AU"/>
        </w:rPr>
        <w:t>World</w:t>
      </w:r>
      <w:proofErr w:type="spellEnd"/>
      <w:r w:rsidRPr="0018472C">
        <w:rPr>
          <w:sz w:val="16"/>
          <w:szCs w:val="16"/>
          <w:lang w:val="en-AU"/>
        </w:rPr>
        <w:t xml:space="preserve">, </w:t>
      </w:r>
      <w:r w:rsidRPr="0018472C">
        <w:rPr>
          <w:i/>
          <w:sz w:val="16"/>
          <w:szCs w:val="16"/>
          <w:lang w:val="en-AU"/>
        </w:rPr>
        <w:t>Clothing Wholesaling in Australia</w:t>
      </w:r>
      <w:r w:rsidRPr="0018472C">
        <w:rPr>
          <w:sz w:val="16"/>
          <w:szCs w:val="16"/>
          <w:lang w:val="en-AU"/>
        </w:rPr>
        <w:t>, Industry Report</w:t>
      </w:r>
      <w:r>
        <w:rPr>
          <w:sz w:val="16"/>
          <w:szCs w:val="16"/>
          <w:lang w:val="en-AU"/>
        </w:rPr>
        <w:t> </w:t>
      </w:r>
      <w:r w:rsidRPr="0018472C">
        <w:rPr>
          <w:sz w:val="16"/>
          <w:szCs w:val="16"/>
          <w:lang w:val="en-AU"/>
        </w:rPr>
        <w:t xml:space="preserve">F3713, </w:t>
      </w:r>
      <w:r>
        <w:rPr>
          <w:sz w:val="16"/>
          <w:szCs w:val="16"/>
          <w:lang w:val="en-AU"/>
        </w:rPr>
        <w:t>July </w:t>
      </w:r>
      <w:r w:rsidRPr="0018472C">
        <w:rPr>
          <w:sz w:val="16"/>
          <w:szCs w:val="16"/>
          <w:lang w:val="en-AU"/>
        </w:rPr>
        <w:t>2014.</w:t>
      </w:r>
    </w:p>
  </w:footnote>
  <w:footnote w:id="99">
    <w:p w:rsidR="002239EF" w:rsidRPr="00D330EE" w:rsidRDefault="002239EF">
      <w:pPr>
        <w:pStyle w:val="FootnoteText"/>
        <w:rPr>
          <w:lang w:val="en-AU"/>
        </w:rPr>
      </w:pPr>
      <w:r w:rsidRPr="009F1FDF">
        <w:rPr>
          <w:rStyle w:val="FootnoteReference"/>
          <w:sz w:val="16"/>
          <w:szCs w:val="16"/>
        </w:rPr>
        <w:footnoteRef/>
      </w:r>
      <w:r>
        <w:t xml:space="preserve"> </w:t>
      </w:r>
      <w:r>
        <w:rPr>
          <w:lang w:val="en-AU"/>
        </w:rPr>
        <w:tab/>
      </w:r>
      <w:r w:rsidRPr="00D330EE">
        <w:rPr>
          <w:sz w:val="16"/>
          <w:szCs w:val="16"/>
          <w:lang w:val="en-AU"/>
        </w:rPr>
        <w:t>Ibid.</w:t>
      </w:r>
    </w:p>
  </w:footnote>
  <w:footnote w:id="100">
    <w:p w:rsidR="002239EF" w:rsidRPr="0018472C" w:rsidRDefault="002239EF" w:rsidP="0081579D">
      <w:pPr>
        <w:pStyle w:val="FootnoteText"/>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lang w:val="en-AU"/>
        </w:rPr>
        <w:tab/>
      </w:r>
      <w:proofErr w:type="spellStart"/>
      <w:r w:rsidRPr="0018472C">
        <w:rPr>
          <w:sz w:val="16"/>
          <w:szCs w:val="16"/>
          <w:lang w:val="en-AU"/>
        </w:rPr>
        <w:t>IBIS</w:t>
      </w:r>
      <w:r w:rsidRPr="0018472C">
        <w:rPr>
          <w:i/>
          <w:sz w:val="16"/>
          <w:szCs w:val="16"/>
          <w:lang w:val="en-AU"/>
        </w:rPr>
        <w:t>World</w:t>
      </w:r>
      <w:proofErr w:type="spellEnd"/>
      <w:r w:rsidRPr="0018472C">
        <w:rPr>
          <w:sz w:val="16"/>
          <w:szCs w:val="16"/>
          <w:lang w:val="en-AU"/>
        </w:rPr>
        <w:t xml:space="preserve">, </w:t>
      </w:r>
      <w:r w:rsidRPr="0018472C">
        <w:rPr>
          <w:i/>
          <w:sz w:val="16"/>
          <w:szCs w:val="16"/>
          <w:lang w:val="en-AU"/>
        </w:rPr>
        <w:t>Textile Product Wholesaling in Australia</w:t>
      </w:r>
      <w:r w:rsidRPr="0018472C">
        <w:rPr>
          <w:sz w:val="16"/>
          <w:szCs w:val="16"/>
          <w:lang w:val="en-AU"/>
        </w:rPr>
        <w:t>, Industry Report</w:t>
      </w:r>
      <w:r>
        <w:rPr>
          <w:sz w:val="16"/>
          <w:szCs w:val="16"/>
          <w:lang w:val="en-AU"/>
        </w:rPr>
        <w:t> </w:t>
      </w:r>
      <w:r w:rsidRPr="0018472C">
        <w:rPr>
          <w:sz w:val="16"/>
          <w:szCs w:val="16"/>
          <w:lang w:val="en-AU"/>
        </w:rPr>
        <w:t xml:space="preserve">F3711, </w:t>
      </w:r>
      <w:r>
        <w:rPr>
          <w:sz w:val="16"/>
          <w:szCs w:val="16"/>
          <w:lang w:val="en-AU"/>
        </w:rPr>
        <w:t>September </w:t>
      </w:r>
      <w:r w:rsidRPr="0018472C">
        <w:rPr>
          <w:sz w:val="16"/>
          <w:szCs w:val="16"/>
          <w:lang w:val="en-AU"/>
        </w:rPr>
        <w:t>2014.</w:t>
      </w:r>
    </w:p>
  </w:footnote>
  <w:footnote w:id="101">
    <w:p w:rsidR="002239EF" w:rsidRPr="00D330EE" w:rsidRDefault="002239EF">
      <w:pPr>
        <w:pStyle w:val="FootnoteText"/>
        <w:rPr>
          <w:lang w:val="en-AU"/>
        </w:rPr>
      </w:pPr>
      <w:r w:rsidRPr="009F1FDF">
        <w:rPr>
          <w:rStyle w:val="FootnoteReference"/>
          <w:sz w:val="16"/>
          <w:szCs w:val="16"/>
        </w:rPr>
        <w:footnoteRef/>
      </w:r>
      <w:r>
        <w:t xml:space="preserve"> </w:t>
      </w:r>
      <w:r>
        <w:rPr>
          <w:lang w:val="en-AU"/>
        </w:rPr>
        <w:tab/>
      </w:r>
      <w:r w:rsidRPr="00D330EE">
        <w:rPr>
          <w:sz w:val="16"/>
          <w:szCs w:val="16"/>
          <w:lang w:val="en-AU"/>
        </w:rPr>
        <w:t>Ibid.</w:t>
      </w:r>
    </w:p>
  </w:footnote>
  <w:footnote w:id="102">
    <w:p w:rsidR="002239EF" w:rsidRDefault="002239EF" w:rsidP="00F50C37">
      <w:pPr>
        <w:pStyle w:val="FootnoteText"/>
        <w:rPr>
          <w:sz w:val="16"/>
          <w:szCs w:val="16"/>
          <w:lang w:val="en-AU"/>
        </w:rPr>
      </w:pPr>
      <w:r w:rsidRPr="0018472C">
        <w:rPr>
          <w:rStyle w:val="FootnoteReference"/>
          <w:sz w:val="16"/>
          <w:szCs w:val="16"/>
        </w:rPr>
        <w:footnoteRef/>
      </w:r>
      <w:r w:rsidRPr="0018472C">
        <w:rPr>
          <w:sz w:val="16"/>
          <w:szCs w:val="16"/>
        </w:rPr>
        <w:t xml:space="preserve"> </w:t>
      </w:r>
      <w:r w:rsidRPr="0018472C">
        <w:rPr>
          <w:sz w:val="16"/>
          <w:szCs w:val="16"/>
          <w:lang w:val="en-AU"/>
        </w:rPr>
        <w:tab/>
      </w:r>
      <w:proofErr w:type="spellStart"/>
      <w:r w:rsidRPr="0018472C">
        <w:rPr>
          <w:sz w:val="16"/>
          <w:szCs w:val="16"/>
          <w:lang w:val="en-AU"/>
        </w:rPr>
        <w:t>IBIS</w:t>
      </w:r>
      <w:r w:rsidRPr="0018472C">
        <w:rPr>
          <w:i/>
          <w:sz w:val="16"/>
          <w:szCs w:val="16"/>
          <w:lang w:val="en-AU"/>
        </w:rPr>
        <w:t>World</w:t>
      </w:r>
      <w:proofErr w:type="spellEnd"/>
      <w:r w:rsidRPr="0018472C">
        <w:rPr>
          <w:sz w:val="16"/>
          <w:szCs w:val="16"/>
          <w:lang w:val="en-AU"/>
        </w:rPr>
        <w:t xml:space="preserve">, </w:t>
      </w:r>
      <w:r w:rsidRPr="0018472C">
        <w:rPr>
          <w:i/>
          <w:sz w:val="16"/>
          <w:szCs w:val="16"/>
          <w:lang w:val="en-AU"/>
        </w:rPr>
        <w:t>Clothing Wholesaling in Australia</w:t>
      </w:r>
      <w:r w:rsidRPr="0018472C">
        <w:rPr>
          <w:sz w:val="16"/>
          <w:szCs w:val="16"/>
          <w:lang w:val="en-AU"/>
        </w:rPr>
        <w:t>, Industry Report</w:t>
      </w:r>
      <w:r>
        <w:rPr>
          <w:sz w:val="16"/>
          <w:szCs w:val="16"/>
          <w:lang w:val="en-AU"/>
        </w:rPr>
        <w:t> </w:t>
      </w:r>
      <w:r w:rsidRPr="0018472C">
        <w:rPr>
          <w:sz w:val="16"/>
          <w:szCs w:val="16"/>
          <w:lang w:val="en-AU"/>
        </w:rPr>
        <w:t>F3713, March</w:t>
      </w:r>
      <w:r>
        <w:rPr>
          <w:sz w:val="16"/>
          <w:szCs w:val="16"/>
          <w:lang w:val="en-AU"/>
        </w:rPr>
        <w:t> </w:t>
      </w:r>
      <w:r w:rsidRPr="0018472C">
        <w:rPr>
          <w:sz w:val="16"/>
          <w:szCs w:val="16"/>
          <w:lang w:val="en-AU"/>
        </w:rPr>
        <w:t>2014.</w:t>
      </w:r>
    </w:p>
  </w:footnote>
  <w:footnote w:id="103">
    <w:p w:rsidR="002239EF" w:rsidRPr="000B6516" w:rsidRDefault="002239EF" w:rsidP="00F50C37">
      <w:pPr>
        <w:pStyle w:val="FootnoteText"/>
        <w:rPr>
          <w:sz w:val="16"/>
          <w:szCs w:val="16"/>
          <w:lang w:val="en-AU"/>
        </w:rPr>
      </w:pPr>
      <w:r w:rsidRPr="000B6516">
        <w:rPr>
          <w:rStyle w:val="FootnoteReference"/>
          <w:sz w:val="16"/>
          <w:szCs w:val="16"/>
        </w:rPr>
        <w:footnoteRef/>
      </w:r>
      <w:r w:rsidRPr="000B6516">
        <w:rPr>
          <w:sz w:val="16"/>
          <w:szCs w:val="16"/>
        </w:rPr>
        <w:t xml:space="preserve"> </w:t>
      </w:r>
      <w:r w:rsidRPr="000B6516">
        <w:rPr>
          <w:sz w:val="16"/>
          <w:szCs w:val="16"/>
          <w:lang w:val="en-AU"/>
        </w:rPr>
        <w:tab/>
      </w:r>
      <w:r>
        <w:rPr>
          <w:sz w:val="16"/>
          <w:szCs w:val="16"/>
          <w:lang w:val="en-AU"/>
        </w:rPr>
        <w:t xml:space="preserve">See </w:t>
      </w:r>
      <w:hyperlink r:id="rId40" w:history="1">
        <w:r w:rsidRPr="000B6516">
          <w:rPr>
            <w:rStyle w:val="Hyperlink"/>
            <w:sz w:val="16"/>
            <w:szCs w:val="16"/>
          </w:rPr>
          <w:t>http://eur-lex.europa.eu/LexUriServ/LexUriServ.do?uri=OJ:L:2009:164:0007:0031:en:PDF</w:t>
        </w:r>
      </w:hyperlink>
      <w:r>
        <w:rPr>
          <w:rStyle w:val="Hyperlink"/>
          <w:sz w:val="16"/>
          <w:szCs w:val="16"/>
        </w:rPr>
        <w:t>.</w:t>
      </w:r>
    </w:p>
  </w:footnote>
  <w:footnote w:id="104">
    <w:p w:rsidR="002239EF" w:rsidRPr="000B6516" w:rsidRDefault="002239EF" w:rsidP="00F50C37">
      <w:pPr>
        <w:pStyle w:val="FootnoteText"/>
        <w:rPr>
          <w:sz w:val="16"/>
          <w:szCs w:val="16"/>
          <w:lang w:val="en-AU"/>
        </w:rPr>
      </w:pPr>
      <w:r w:rsidRPr="000B6516">
        <w:rPr>
          <w:rStyle w:val="FootnoteReference"/>
          <w:sz w:val="16"/>
          <w:szCs w:val="16"/>
        </w:rPr>
        <w:footnoteRef/>
      </w:r>
      <w:r w:rsidRPr="000B6516">
        <w:rPr>
          <w:sz w:val="16"/>
          <w:szCs w:val="16"/>
        </w:rPr>
        <w:t xml:space="preserve"> </w:t>
      </w:r>
      <w:r w:rsidRPr="000B6516">
        <w:rPr>
          <w:sz w:val="16"/>
          <w:szCs w:val="16"/>
        </w:rPr>
        <w:tab/>
      </w:r>
      <w:r>
        <w:rPr>
          <w:sz w:val="16"/>
          <w:szCs w:val="16"/>
        </w:rPr>
        <w:t xml:space="preserve">See </w:t>
      </w:r>
      <w:hyperlink r:id="rId41" w:history="1">
        <w:r w:rsidRPr="000B6516">
          <w:rPr>
            <w:rStyle w:val="Hyperlink"/>
            <w:sz w:val="16"/>
            <w:szCs w:val="16"/>
          </w:rPr>
          <w:t>https://www.iaaqaservices.bureauveritas.com/reach-ccr/regulation_updates/59737.html</w:t>
        </w:r>
      </w:hyperlink>
      <w:r>
        <w:rPr>
          <w:rStyle w:val="Hyperlink"/>
          <w:sz w:val="16"/>
          <w:szCs w:val="16"/>
        </w:rPr>
        <w:t>.</w:t>
      </w:r>
    </w:p>
  </w:footnote>
  <w:footnote w:id="105">
    <w:p w:rsidR="002239EF" w:rsidRPr="000B6516" w:rsidRDefault="002239EF" w:rsidP="00F50C37">
      <w:pPr>
        <w:pStyle w:val="FootnoteText"/>
        <w:rPr>
          <w:rFonts w:cs="Arial"/>
          <w:sz w:val="16"/>
          <w:szCs w:val="16"/>
          <w:lang w:val="en-AU"/>
        </w:rPr>
      </w:pPr>
      <w:r w:rsidRPr="000B6516">
        <w:rPr>
          <w:rStyle w:val="FootnoteReference"/>
          <w:rFonts w:cs="Arial"/>
          <w:sz w:val="16"/>
          <w:szCs w:val="16"/>
        </w:rPr>
        <w:footnoteRef/>
      </w:r>
      <w:r w:rsidRPr="000B6516">
        <w:rPr>
          <w:rFonts w:cs="Arial"/>
          <w:sz w:val="16"/>
          <w:szCs w:val="16"/>
        </w:rPr>
        <w:t xml:space="preserve"> </w:t>
      </w:r>
      <w:r w:rsidRPr="000B6516">
        <w:rPr>
          <w:rFonts w:cs="Arial"/>
          <w:sz w:val="16"/>
          <w:szCs w:val="16"/>
          <w:lang w:val="en-AU"/>
        </w:rPr>
        <w:tab/>
      </w:r>
      <w:r>
        <w:rPr>
          <w:rFonts w:cs="Arial"/>
          <w:sz w:val="16"/>
          <w:szCs w:val="16"/>
          <w:lang w:val="en-AU"/>
        </w:rPr>
        <w:t xml:space="preserve">See </w:t>
      </w:r>
      <w:hyperlink r:id="rId42" w:history="1">
        <w:r w:rsidRPr="000B6516">
          <w:rPr>
            <w:rStyle w:val="Hyperlink"/>
            <w:rFonts w:cs="Arial"/>
            <w:sz w:val="16"/>
            <w:szCs w:val="16"/>
          </w:rPr>
          <w:t>http://www.intertek.com/textiles/gb-18401/</w:t>
        </w:r>
      </w:hyperlink>
      <w:r>
        <w:rPr>
          <w:rStyle w:val="Hyperlink"/>
          <w:rFonts w:cs="Arial"/>
          <w:sz w:val="16"/>
          <w:szCs w:val="16"/>
        </w:rPr>
        <w:t>.</w:t>
      </w:r>
    </w:p>
  </w:footnote>
  <w:footnote w:id="106">
    <w:p w:rsidR="002239EF" w:rsidRPr="0018472C" w:rsidRDefault="002239EF" w:rsidP="00F50C37">
      <w:pPr>
        <w:pStyle w:val="FootnoteText"/>
        <w:rPr>
          <w:rFonts w:cs="Arial"/>
          <w:sz w:val="16"/>
          <w:szCs w:val="16"/>
          <w:lang w:val="en-AU"/>
        </w:rPr>
      </w:pPr>
      <w:r w:rsidRPr="0018472C">
        <w:rPr>
          <w:rStyle w:val="FootnoteReference"/>
          <w:rFonts w:cs="Arial"/>
          <w:sz w:val="16"/>
          <w:szCs w:val="16"/>
        </w:rPr>
        <w:footnoteRef/>
      </w:r>
      <w:r w:rsidRPr="0018472C">
        <w:rPr>
          <w:rFonts w:cs="Arial"/>
          <w:sz w:val="16"/>
          <w:szCs w:val="16"/>
        </w:rPr>
        <w:t xml:space="preserve"> </w:t>
      </w:r>
      <w:r w:rsidRPr="0018472C">
        <w:rPr>
          <w:rFonts w:cs="Arial"/>
          <w:sz w:val="16"/>
          <w:szCs w:val="16"/>
        </w:rPr>
        <w:tab/>
      </w:r>
      <w:r>
        <w:rPr>
          <w:rFonts w:cs="Arial"/>
          <w:sz w:val="16"/>
          <w:szCs w:val="16"/>
        </w:rPr>
        <w:t xml:space="preserve">See </w:t>
      </w:r>
      <w:hyperlink r:id="rId43" w:history="1">
        <w:r w:rsidRPr="0018472C">
          <w:rPr>
            <w:rStyle w:val="Hyperlink"/>
            <w:rFonts w:cs="Arial"/>
            <w:sz w:val="16"/>
            <w:szCs w:val="16"/>
          </w:rPr>
          <w:t>http://www.gmn.hkpc.org/en_newsletter_details.asp?id=62</w:t>
        </w:r>
      </w:hyperlink>
      <w:r w:rsidRPr="0018472C">
        <w:rPr>
          <w:rStyle w:val="Hyperlink"/>
          <w:rFonts w:cs="Arial"/>
          <w:sz w:val="16"/>
          <w:szCs w:val="16"/>
        </w:rPr>
        <w:t>.</w:t>
      </w:r>
    </w:p>
  </w:footnote>
  <w:footnote w:id="107">
    <w:p w:rsidR="002239EF" w:rsidRPr="0018472C" w:rsidRDefault="002239EF" w:rsidP="00F50C37">
      <w:pPr>
        <w:pStyle w:val="FootnoteText"/>
        <w:rPr>
          <w:rFonts w:cs="Arial"/>
          <w:sz w:val="16"/>
          <w:szCs w:val="16"/>
          <w:lang w:val="en-AU"/>
        </w:rPr>
      </w:pPr>
      <w:r w:rsidRPr="0018472C">
        <w:rPr>
          <w:rStyle w:val="FootnoteReference"/>
          <w:rFonts w:cs="Arial"/>
          <w:sz w:val="16"/>
          <w:szCs w:val="16"/>
        </w:rPr>
        <w:footnoteRef/>
      </w:r>
      <w:r w:rsidRPr="0018472C">
        <w:rPr>
          <w:rFonts w:cs="Arial"/>
          <w:sz w:val="16"/>
          <w:szCs w:val="16"/>
        </w:rPr>
        <w:t xml:space="preserve"> </w:t>
      </w:r>
      <w:r w:rsidRPr="0018472C">
        <w:rPr>
          <w:rFonts w:cs="Arial"/>
          <w:sz w:val="16"/>
          <w:szCs w:val="16"/>
        </w:rPr>
        <w:tab/>
      </w:r>
      <w:r>
        <w:rPr>
          <w:rFonts w:cs="Arial"/>
          <w:sz w:val="16"/>
          <w:szCs w:val="16"/>
        </w:rPr>
        <w:t xml:space="preserve">See </w:t>
      </w:r>
      <w:hyperlink r:id="rId44" w:history="1">
        <w:r w:rsidRPr="0018472C">
          <w:rPr>
            <w:rStyle w:val="Hyperlink"/>
            <w:rFonts w:cs="Arial"/>
            <w:sz w:val="16"/>
            <w:szCs w:val="16"/>
          </w:rPr>
          <w:t>http://www.cti-cert.com/en/news/news_de.aspx?id=3707</w:t>
        </w:r>
      </w:hyperlink>
      <w:r w:rsidRPr="0018472C">
        <w:rPr>
          <w:rStyle w:val="Hyperlink"/>
          <w:rFonts w:cs="Arial"/>
          <w:sz w:val="16"/>
          <w:szCs w:val="16"/>
        </w:rPr>
        <w:t>.</w:t>
      </w:r>
    </w:p>
  </w:footnote>
  <w:footnote w:id="108">
    <w:p w:rsidR="002239EF" w:rsidRPr="0018472C" w:rsidRDefault="002239EF" w:rsidP="00F50C37">
      <w:pPr>
        <w:pStyle w:val="FootnoteText"/>
        <w:ind w:left="709" w:hanging="709"/>
        <w:rPr>
          <w:rFonts w:cs="Arial"/>
          <w:sz w:val="16"/>
          <w:szCs w:val="16"/>
          <w:lang w:val="en-AU"/>
        </w:rPr>
      </w:pPr>
      <w:r w:rsidRPr="0018472C">
        <w:rPr>
          <w:rStyle w:val="FootnoteReference"/>
          <w:rFonts w:cs="Arial"/>
          <w:sz w:val="16"/>
          <w:szCs w:val="16"/>
        </w:rPr>
        <w:footnoteRef/>
      </w:r>
      <w:r w:rsidRPr="0018472C">
        <w:rPr>
          <w:rFonts w:cs="Arial"/>
          <w:sz w:val="16"/>
          <w:szCs w:val="16"/>
        </w:rPr>
        <w:t xml:space="preserve"> </w:t>
      </w:r>
      <w:r w:rsidRPr="0018472C">
        <w:rPr>
          <w:rFonts w:cs="Arial"/>
          <w:sz w:val="16"/>
          <w:szCs w:val="16"/>
          <w:lang w:val="en-AU"/>
        </w:rPr>
        <w:tab/>
        <w:t xml:space="preserve">National Industrial Chemical Notification and Assessment Scheme, </w:t>
      </w:r>
      <w:r w:rsidRPr="0018472C">
        <w:rPr>
          <w:rFonts w:cs="Arial"/>
          <w:i/>
          <w:sz w:val="16"/>
          <w:szCs w:val="16"/>
          <w:lang w:val="en-AU"/>
        </w:rPr>
        <w:t>Inventory Multi-Tiered Assessment and Prioritisation Human Health Tier II Assessment for Benzidine-Based Dyes</w:t>
      </w:r>
      <w:r w:rsidRPr="0018472C">
        <w:rPr>
          <w:rFonts w:cs="Arial"/>
          <w:sz w:val="16"/>
          <w:szCs w:val="16"/>
          <w:lang w:val="en-AU"/>
        </w:rPr>
        <w:t>, 6</w:t>
      </w:r>
      <w:r>
        <w:rPr>
          <w:rFonts w:cs="Arial"/>
          <w:sz w:val="16"/>
          <w:szCs w:val="16"/>
          <w:lang w:val="en-AU"/>
        </w:rPr>
        <w:t> </w:t>
      </w:r>
      <w:r w:rsidRPr="0018472C">
        <w:rPr>
          <w:rFonts w:cs="Arial"/>
          <w:sz w:val="16"/>
          <w:szCs w:val="16"/>
          <w:lang w:val="en-AU"/>
        </w:rPr>
        <w:t>June</w:t>
      </w:r>
      <w:r>
        <w:rPr>
          <w:rFonts w:cs="Arial"/>
          <w:sz w:val="16"/>
          <w:szCs w:val="16"/>
          <w:lang w:val="en-AU"/>
        </w:rPr>
        <w:t> </w:t>
      </w:r>
      <w:r w:rsidRPr="0018472C">
        <w:rPr>
          <w:rFonts w:cs="Arial"/>
          <w:sz w:val="16"/>
          <w:szCs w:val="16"/>
          <w:lang w:val="en-AU"/>
        </w:rPr>
        <w:t>2013</w:t>
      </w:r>
      <w:r>
        <w:rPr>
          <w:rFonts w:cs="Arial"/>
          <w:sz w:val="16"/>
          <w:szCs w:val="16"/>
          <w:lang w:val="en-AU"/>
        </w:rPr>
        <w:t>,</w:t>
      </w:r>
      <w:r w:rsidRPr="0018472C">
        <w:rPr>
          <w:rFonts w:cs="Arial"/>
          <w:sz w:val="16"/>
          <w:szCs w:val="16"/>
          <w:lang w:val="en-AU"/>
        </w:rPr>
        <w:t xml:space="preserve">available: </w:t>
      </w:r>
      <w:hyperlink r:id="rId45" w:history="1">
        <w:r w:rsidRPr="0018472C">
          <w:rPr>
            <w:rStyle w:val="Hyperlink"/>
            <w:rFonts w:cs="Arial"/>
            <w:sz w:val="16"/>
            <w:szCs w:val="16"/>
            <w:lang w:val="en-AU"/>
          </w:rPr>
          <w:t>http://www.nicnas.gov.au/chemical-information/imap-assessments/imap-group-assessment-report?assessment_id=513</w:t>
        </w:r>
      </w:hyperlink>
      <w:r w:rsidRPr="0018472C">
        <w:rPr>
          <w:rFonts w:cs="Arial"/>
          <w:sz w:val="16"/>
          <w:szCs w:val="16"/>
        </w:rPr>
        <w:t xml:space="preserve"> </w:t>
      </w:r>
      <w:r w:rsidRPr="0018472C">
        <w:rPr>
          <w:rFonts w:cs="Arial"/>
          <w:sz w:val="16"/>
          <w:szCs w:val="16"/>
          <w:lang w:val="en-AU"/>
        </w:rPr>
        <w:t>and;</w:t>
      </w:r>
    </w:p>
    <w:p w:rsidR="002239EF" w:rsidRPr="0018472C" w:rsidRDefault="002239EF" w:rsidP="00F50C37">
      <w:pPr>
        <w:pStyle w:val="FootnoteText"/>
        <w:ind w:left="709"/>
        <w:rPr>
          <w:rFonts w:cs="Arial"/>
          <w:sz w:val="16"/>
          <w:szCs w:val="16"/>
          <w:lang w:val="en-AU"/>
        </w:rPr>
      </w:pPr>
      <w:r w:rsidRPr="0018472C">
        <w:rPr>
          <w:rFonts w:cs="Arial"/>
          <w:sz w:val="16"/>
          <w:szCs w:val="16"/>
          <w:lang w:val="en-AU"/>
        </w:rPr>
        <w:t xml:space="preserve">Federal Register, </w:t>
      </w:r>
      <w:r w:rsidRPr="0018472C">
        <w:rPr>
          <w:rFonts w:cs="Arial"/>
          <w:i/>
          <w:sz w:val="16"/>
          <w:szCs w:val="16"/>
          <w:lang w:val="en-AU"/>
        </w:rPr>
        <w:t>Significant New Use Rule (SNUR); Benzidine-Based Dyes; Di-n-pentyl phalate (DnPP); and Alkanes, C12-13, Chloro</w:t>
      </w:r>
      <w:r w:rsidRPr="0018472C">
        <w:rPr>
          <w:rFonts w:cs="Arial"/>
          <w:sz w:val="16"/>
          <w:szCs w:val="16"/>
          <w:lang w:val="en-AU"/>
        </w:rPr>
        <w:t xml:space="preserve">, </w:t>
      </w:r>
      <w:r>
        <w:rPr>
          <w:rFonts w:cs="Arial"/>
          <w:sz w:val="16"/>
          <w:szCs w:val="16"/>
          <w:lang w:val="en-AU"/>
        </w:rPr>
        <w:t>viewed</w:t>
      </w:r>
      <w:r w:rsidRPr="0018472C">
        <w:rPr>
          <w:rFonts w:cs="Arial"/>
          <w:sz w:val="16"/>
          <w:szCs w:val="16"/>
          <w:lang w:val="en-AU"/>
        </w:rPr>
        <w:t xml:space="preserve"> 27</w:t>
      </w:r>
      <w:r>
        <w:rPr>
          <w:rFonts w:cs="Arial"/>
          <w:sz w:val="16"/>
          <w:szCs w:val="16"/>
          <w:lang w:val="en-AU"/>
        </w:rPr>
        <w:t> </w:t>
      </w:r>
      <w:r w:rsidRPr="0018472C">
        <w:rPr>
          <w:rFonts w:cs="Arial"/>
          <w:sz w:val="16"/>
          <w:szCs w:val="16"/>
          <w:lang w:val="en-AU"/>
        </w:rPr>
        <w:t>June</w:t>
      </w:r>
      <w:r>
        <w:rPr>
          <w:rFonts w:cs="Arial"/>
          <w:sz w:val="16"/>
          <w:szCs w:val="16"/>
          <w:lang w:val="en-AU"/>
        </w:rPr>
        <w:t> </w:t>
      </w:r>
      <w:r w:rsidRPr="0018472C">
        <w:rPr>
          <w:rFonts w:cs="Arial"/>
          <w:sz w:val="16"/>
          <w:szCs w:val="16"/>
          <w:lang w:val="en-AU"/>
        </w:rPr>
        <w:t>2014</w:t>
      </w:r>
      <w:r>
        <w:rPr>
          <w:rFonts w:cs="Arial"/>
          <w:sz w:val="16"/>
          <w:szCs w:val="16"/>
          <w:lang w:val="en-AU"/>
        </w:rPr>
        <w:t xml:space="preserve">, </w:t>
      </w:r>
      <w:hyperlink r:id="rId46" w:history="1">
        <w:r w:rsidRPr="0018472C">
          <w:rPr>
            <w:rStyle w:val="Hyperlink"/>
            <w:rFonts w:cs="Arial"/>
            <w:sz w:val="16"/>
            <w:szCs w:val="16"/>
            <w:lang w:val="en-AU"/>
          </w:rPr>
          <w:t>https://www.federalregister.gov/regulations/2070-AJ73/significant-new-use-rule-snur-benzidine-based-dyes-di-n-pentyl-phthalate-dnpp-and-alkanes-c12-13-chl</w:t>
        </w:r>
      </w:hyperlink>
      <w:r>
        <w:rPr>
          <w:rStyle w:val="Hyperlink"/>
          <w:rFonts w:cs="Arial"/>
          <w:sz w:val="16"/>
          <w:szCs w:val="16"/>
          <w:lang w:val="en-AU"/>
        </w:rPr>
        <w:t>.</w:t>
      </w:r>
    </w:p>
  </w:footnote>
  <w:footnote w:id="109">
    <w:p w:rsidR="002239EF" w:rsidRPr="0018472C" w:rsidRDefault="002239EF" w:rsidP="00F50C37">
      <w:pPr>
        <w:pStyle w:val="FootnoteText"/>
        <w:ind w:left="709" w:hanging="709"/>
        <w:rPr>
          <w:rFonts w:cs="Arial"/>
          <w:sz w:val="16"/>
          <w:szCs w:val="16"/>
          <w:lang w:val="en-AU"/>
        </w:rPr>
      </w:pPr>
      <w:r w:rsidRPr="0018472C">
        <w:rPr>
          <w:rStyle w:val="FootnoteReference"/>
          <w:rFonts w:cs="Arial"/>
          <w:sz w:val="16"/>
          <w:szCs w:val="16"/>
        </w:rPr>
        <w:footnoteRef/>
      </w:r>
      <w:r w:rsidRPr="0018472C">
        <w:rPr>
          <w:rFonts w:cs="Arial"/>
          <w:sz w:val="16"/>
          <w:szCs w:val="16"/>
        </w:rPr>
        <w:t xml:space="preserve"> </w:t>
      </w:r>
      <w:r w:rsidRPr="0018472C">
        <w:rPr>
          <w:rFonts w:cs="Arial"/>
          <w:sz w:val="16"/>
          <w:szCs w:val="16"/>
        </w:rPr>
        <w:tab/>
      </w:r>
      <w:r w:rsidRPr="0018472C">
        <w:rPr>
          <w:rFonts w:cs="Arial"/>
          <w:sz w:val="16"/>
          <w:szCs w:val="16"/>
          <w:lang w:val="en-AU"/>
        </w:rPr>
        <w:t xml:space="preserve">National Industrial Chemical Notification and Assessment Scheme, </w:t>
      </w:r>
      <w:r w:rsidRPr="0018472C">
        <w:rPr>
          <w:rFonts w:cs="Arial"/>
          <w:i/>
          <w:sz w:val="16"/>
          <w:szCs w:val="16"/>
          <w:lang w:val="en-AU"/>
        </w:rPr>
        <w:t>Inventory Multi-Tiered Assessment and Prioritisation Human Health Tier II Assessment for Benzidine-Based Dyes</w:t>
      </w:r>
      <w:r w:rsidRPr="0018472C">
        <w:rPr>
          <w:rFonts w:cs="Arial"/>
          <w:sz w:val="16"/>
          <w:szCs w:val="16"/>
          <w:lang w:val="en-AU"/>
        </w:rPr>
        <w:t xml:space="preserve">, </w:t>
      </w:r>
      <w:r>
        <w:rPr>
          <w:rFonts w:cs="Arial"/>
          <w:sz w:val="16"/>
          <w:szCs w:val="16"/>
          <w:lang w:val="en-AU"/>
        </w:rPr>
        <w:t xml:space="preserve">viewed </w:t>
      </w:r>
      <w:r w:rsidRPr="0018472C">
        <w:rPr>
          <w:rFonts w:cs="Arial"/>
          <w:sz w:val="16"/>
          <w:szCs w:val="16"/>
          <w:lang w:val="en-AU"/>
        </w:rPr>
        <w:t>6</w:t>
      </w:r>
      <w:r>
        <w:rPr>
          <w:rFonts w:cs="Arial"/>
          <w:sz w:val="16"/>
          <w:szCs w:val="16"/>
          <w:lang w:val="en-AU"/>
        </w:rPr>
        <w:t> </w:t>
      </w:r>
      <w:r w:rsidRPr="0018472C">
        <w:rPr>
          <w:rFonts w:cs="Arial"/>
          <w:sz w:val="16"/>
          <w:szCs w:val="16"/>
          <w:lang w:val="en-AU"/>
        </w:rPr>
        <w:t>June</w:t>
      </w:r>
      <w:r>
        <w:rPr>
          <w:rFonts w:cs="Arial"/>
          <w:sz w:val="16"/>
          <w:szCs w:val="16"/>
          <w:lang w:val="en-AU"/>
        </w:rPr>
        <w:t> </w:t>
      </w:r>
      <w:r w:rsidRPr="0018472C">
        <w:rPr>
          <w:rFonts w:cs="Arial"/>
          <w:sz w:val="16"/>
          <w:szCs w:val="16"/>
          <w:lang w:val="en-AU"/>
        </w:rPr>
        <w:t>2013</w:t>
      </w:r>
      <w:r>
        <w:rPr>
          <w:rFonts w:cs="Arial"/>
          <w:sz w:val="16"/>
          <w:szCs w:val="16"/>
          <w:lang w:val="en-AU"/>
        </w:rPr>
        <w:t xml:space="preserve">, </w:t>
      </w:r>
      <w:hyperlink r:id="rId47" w:history="1">
        <w:r w:rsidRPr="0018472C">
          <w:rPr>
            <w:rStyle w:val="Hyperlink"/>
            <w:rFonts w:cs="Arial"/>
            <w:sz w:val="16"/>
            <w:szCs w:val="16"/>
            <w:lang w:val="en-AU"/>
          </w:rPr>
          <w:t>http://www.nicnas.gov.au/chemical-information/imap-assessments/imap-group-assessment-report?assessment_id=513</w:t>
        </w:r>
      </w:hyperlink>
      <w:r w:rsidRPr="0018472C">
        <w:rPr>
          <w:rStyle w:val="Hyperlink"/>
          <w:rFonts w:cs="Arial"/>
          <w:sz w:val="16"/>
          <w:szCs w:val="16"/>
          <w:lang w:val="en-AU"/>
        </w:rPr>
        <w:t>.</w:t>
      </w:r>
    </w:p>
  </w:footnote>
  <w:footnote w:id="110">
    <w:p w:rsidR="002239EF" w:rsidRPr="0018472C" w:rsidRDefault="002239EF" w:rsidP="00F50C37">
      <w:pPr>
        <w:ind w:left="709" w:hanging="709"/>
        <w:outlineLvl w:val="0"/>
        <w:rPr>
          <w:rFonts w:ascii="Arial" w:hAnsi="Arial" w:cs="Arial"/>
          <w:sz w:val="16"/>
          <w:szCs w:val="16"/>
        </w:rPr>
      </w:pPr>
      <w:r w:rsidRPr="0018472C">
        <w:rPr>
          <w:rStyle w:val="FootnoteReference"/>
          <w:rFonts w:ascii="Arial" w:hAnsi="Arial" w:cs="Arial"/>
          <w:sz w:val="16"/>
          <w:szCs w:val="16"/>
        </w:rPr>
        <w:footnoteRef/>
      </w:r>
      <w:r w:rsidRPr="0018472C">
        <w:rPr>
          <w:rFonts w:ascii="Arial" w:hAnsi="Arial" w:cs="Arial"/>
          <w:sz w:val="16"/>
          <w:szCs w:val="16"/>
        </w:rPr>
        <w:t xml:space="preserve"> </w:t>
      </w:r>
      <w:r w:rsidRPr="0018472C">
        <w:rPr>
          <w:rFonts w:ascii="Arial" w:hAnsi="Arial" w:cs="Arial"/>
          <w:sz w:val="16"/>
          <w:szCs w:val="16"/>
        </w:rPr>
        <w:tab/>
      </w:r>
      <w:r w:rsidRPr="0046121C">
        <w:rPr>
          <w:rFonts w:ascii="Arial" w:hAnsi="Arial" w:cs="Arial"/>
          <w:bCs/>
          <w:i/>
          <w:kern w:val="36"/>
          <w:sz w:val="16"/>
          <w:szCs w:val="16"/>
          <w:lang w:val="en"/>
        </w:rPr>
        <w:t>Draft Screening Assessment Aromatic Azo and Benzidine-based Substance Grouping Certain Azo Solvent Dyes</w:t>
      </w:r>
      <w:r w:rsidRPr="0046121C">
        <w:rPr>
          <w:rFonts w:ascii="Arial" w:hAnsi="Arial" w:cs="Arial"/>
          <w:bCs/>
          <w:kern w:val="36"/>
          <w:sz w:val="16"/>
          <w:szCs w:val="16"/>
          <w:lang w:val="en"/>
        </w:rPr>
        <w:t>, Environment Canada/Health Canada, November 2013</w:t>
      </w:r>
      <w:r>
        <w:rPr>
          <w:rFonts w:ascii="Arial" w:hAnsi="Arial" w:cs="Arial"/>
          <w:bCs/>
          <w:kern w:val="36"/>
          <w:sz w:val="16"/>
          <w:szCs w:val="16"/>
          <w:lang w:val="en"/>
        </w:rPr>
        <w:t>, viewed 1 September 2014,</w:t>
      </w:r>
      <w:r w:rsidRPr="0046121C">
        <w:rPr>
          <w:rFonts w:ascii="Arial" w:hAnsi="Arial" w:cs="Arial"/>
          <w:bCs/>
          <w:kern w:val="36"/>
          <w:sz w:val="16"/>
          <w:szCs w:val="16"/>
          <w:lang w:val="en"/>
        </w:rPr>
        <w:t xml:space="preserve"> </w:t>
      </w:r>
      <w:hyperlink r:id="rId48" w:anchor="toc31" w:history="1">
        <w:r w:rsidRPr="0046121C">
          <w:rPr>
            <w:rStyle w:val="Hyperlink"/>
            <w:rFonts w:ascii="Arial" w:hAnsi="Arial" w:cs="Arial"/>
            <w:bCs/>
            <w:kern w:val="36"/>
            <w:sz w:val="16"/>
            <w:szCs w:val="16"/>
            <w:lang w:val="en"/>
          </w:rPr>
          <w:t>http://www.ec.gc.ca/ese-ees/default.asp?lang=En&amp;n=AB88B1AB-1#toc31</w:t>
        </w:r>
      </w:hyperlink>
      <w:r w:rsidRPr="0046121C">
        <w:rPr>
          <w:rFonts w:ascii="Arial" w:hAnsi="Arial" w:cs="Arial"/>
          <w:bCs/>
          <w:kern w:val="36"/>
          <w:sz w:val="16"/>
          <w:szCs w:val="16"/>
          <w:lang w:val="en"/>
        </w:rPr>
        <w:t>.</w:t>
      </w:r>
    </w:p>
  </w:footnote>
  <w:footnote w:id="111">
    <w:p w:rsidR="002239EF" w:rsidRPr="00FB4694" w:rsidRDefault="002239EF" w:rsidP="003C7A7D">
      <w:pPr>
        <w:pStyle w:val="FootnoteText"/>
        <w:ind w:left="709" w:hanging="709"/>
        <w:rPr>
          <w:sz w:val="16"/>
          <w:szCs w:val="16"/>
          <w:lang w:val="en-AU"/>
        </w:rPr>
      </w:pPr>
      <w:r w:rsidRPr="00FB4694">
        <w:rPr>
          <w:rStyle w:val="FootnoteReference"/>
          <w:sz w:val="16"/>
          <w:szCs w:val="16"/>
        </w:rPr>
        <w:footnoteRef/>
      </w:r>
      <w:r>
        <w:t xml:space="preserve"> </w:t>
      </w:r>
      <w:r>
        <w:rPr>
          <w:lang w:val="en-AU"/>
        </w:rPr>
        <w:tab/>
      </w:r>
      <w:proofErr w:type="spellStart"/>
      <w:r w:rsidRPr="00FB4694">
        <w:rPr>
          <w:sz w:val="16"/>
          <w:szCs w:val="16"/>
          <w:lang w:val="en-AU"/>
        </w:rPr>
        <w:t>IBISWorld</w:t>
      </w:r>
      <w:proofErr w:type="spellEnd"/>
      <w:r w:rsidRPr="00FB4694">
        <w:rPr>
          <w:sz w:val="16"/>
          <w:szCs w:val="16"/>
          <w:lang w:val="en-AU"/>
        </w:rPr>
        <w:t xml:space="preserve">, </w:t>
      </w:r>
      <w:r w:rsidRPr="00FB4694">
        <w:rPr>
          <w:i/>
          <w:sz w:val="16"/>
          <w:szCs w:val="16"/>
          <w:lang w:val="en-AU"/>
        </w:rPr>
        <w:t>Clothing Retailing in Australia</w:t>
      </w:r>
      <w:r w:rsidRPr="00FB4694">
        <w:rPr>
          <w:sz w:val="16"/>
          <w:szCs w:val="16"/>
          <w:lang w:val="en-AU"/>
        </w:rPr>
        <w:t xml:space="preserve">, Industry Report G4251, </w:t>
      </w:r>
      <w:r>
        <w:rPr>
          <w:sz w:val="16"/>
          <w:szCs w:val="16"/>
          <w:lang w:val="en-AU"/>
        </w:rPr>
        <w:t>November</w:t>
      </w:r>
      <w:r w:rsidRPr="00FB4694">
        <w:rPr>
          <w:sz w:val="16"/>
          <w:szCs w:val="16"/>
          <w:lang w:val="en-AU"/>
        </w:rPr>
        <w:t xml:space="preserve"> 2014 and </w:t>
      </w:r>
      <w:proofErr w:type="spellStart"/>
      <w:r w:rsidRPr="00FB4694">
        <w:rPr>
          <w:sz w:val="16"/>
          <w:szCs w:val="16"/>
          <w:lang w:val="en-AU"/>
        </w:rPr>
        <w:t>IBISWorld</w:t>
      </w:r>
      <w:proofErr w:type="spellEnd"/>
      <w:r w:rsidRPr="00FB4694">
        <w:rPr>
          <w:sz w:val="16"/>
          <w:szCs w:val="16"/>
          <w:lang w:val="en-AU"/>
        </w:rPr>
        <w:t xml:space="preserve">, </w:t>
      </w:r>
      <w:r w:rsidRPr="00FB4694">
        <w:rPr>
          <w:i/>
          <w:sz w:val="16"/>
          <w:szCs w:val="16"/>
          <w:lang w:val="en-AU"/>
        </w:rPr>
        <w:t>Fabric Retailing in Australia</w:t>
      </w:r>
      <w:r w:rsidRPr="00FB4694">
        <w:rPr>
          <w:sz w:val="16"/>
          <w:szCs w:val="16"/>
          <w:lang w:val="en-AU"/>
        </w:rPr>
        <w:t>, Industry Report G4214, January 2014.</w:t>
      </w:r>
    </w:p>
  </w:footnote>
  <w:footnote w:id="112">
    <w:p w:rsidR="002239EF" w:rsidRPr="00FB4694" w:rsidRDefault="002239EF" w:rsidP="003C7A7D">
      <w:pPr>
        <w:pStyle w:val="FootnoteText"/>
        <w:ind w:left="709" w:hanging="709"/>
        <w:rPr>
          <w:lang w:val="en-AU"/>
        </w:rPr>
      </w:pPr>
      <w:r w:rsidRPr="00FB4694">
        <w:rPr>
          <w:rStyle w:val="FootnoteReference"/>
          <w:sz w:val="16"/>
          <w:szCs w:val="16"/>
        </w:rPr>
        <w:footnoteRef/>
      </w:r>
      <w:r w:rsidRPr="00FB4694">
        <w:rPr>
          <w:rStyle w:val="FootnoteReference"/>
          <w:sz w:val="16"/>
          <w:szCs w:val="16"/>
        </w:rPr>
        <w:t xml:space="preserve"> </w:t>
      </w:r>
      <w:r>
        <w:rPr>
          <w:lang w:val="en-AU"/>
        </w:rPr>
        <w:tab/>
      </w:r>
      <w:r w:rsidRPr="00FB4694">
        <w:rPr>
          <w:sz w:val="16"/>
          <w:szCs w:val="16"/>
          <w:lang w:val="en-AU"/>
        </w:rPr>
        <w:t>Based on estimate</w:t>
      </w:r>
      <w:r>
        <w:rPr>
          <w:sz w:val="16"/>
          <w:szCs w:val="16"/>
          <w:lang w:val="en-AU"/>
        </w:rPr>
        <w:t>s of current population (on 14 December 2014) and the current rate of increase in population</w:t>
      </w:r>
      <w:r w:rsidRPr="00FB4694">
        <w:rPr>
          <w:sz w:val="16"/>
          <w:szCs w:val="16"/>
          <w:lang w:val="en-AU"/>
        </w:rPr>
        <w:t xml:space="preserve"> provided by Australian Bureau of Statistics, </w:t>
      </w:r>
      <w:hyperlink r:id="rId49" w:history="1">
        <w:r w:rsidRPr="00FB4694">
          <w:rPr>
            <w:rStyle w:val="Hyperlink"/>
            <w:sz w:val="16"/>
            <w:szCs w:val="16"/>
            <w:lang w:val="en-AU"/>
          </w:rPr>
          <w:t>http://www.abs.gov.au/ausstats/abs@.nsf/mf/3101.0</w:t>
        </w:r>
      </w:hyperlink>
    </w:p>
  </w:footnote>
  <w:footnote w:id="113">
    <w:p w:rsidR="002239EF" w:rsidRPr="00FB4694" w:rsidRDefault="002239EF" w:rsidP="003C7A7D">
      <w:pPr>
        <w:pStyle w:val="FootnoteText"/>
        <w:ind w:left="709" w:hanging="709"/>
        <w:rPr>
          <w:sz w:val="16"/>
          <w:szCs w:val="16"/>
          <w:lang w:val="en-AU"/>
        </w:rPr>
      </w:pPr>
      <w:r w:rsidRPr="00FB4694">
        <w:rPr>
          <w:rStyle w:val="FootnoteReference"/>
          <w:sz w:val="16"/>
          <w:szCs w:val="16"/>
        </w:rPr>
        <w:footnoteRef/>
      </w:r>
      <w:r>
        <w:t xml:space="preserve"> </w:t>
      </w:r>
      <w:r>
        <w:tab/>
      </w:r>
      <w:r w:rsidRPr="00FB4694">
        <w:rPr>
          <w:sz w:val="16"/>
          <w:szCs w:val="16"/>
        </w:rPr>
        <w:t>It is anticipated that regulation would apply to direct and prolonged contact articles for all Australians (i.e. cradle to grave). It is estimated that on average, consumers would purchase, or have purchased for them, approximately 30 articles each year. Given the range of articles regulation is likely to apply to</w:t>
      </w:r>
      <w:r>
        <w:rPr>
          <w:sz w:val="16"/>
          <w:szCs w:val="16"/>
        </w:rPr>
        <w:t>,</w:t>
      </w:r>
      <w:r w:rsidRPr="00FB4694">
        <w:rPr>
          <w:sz w:val="16"/>
          <w:szCs w:val="16"/>
        </w:rPr>
        <w:t xml:space="preserve"> an estimate of </w:t>
      </w:r>
      <w:r>
        <w:rPr>
          <w:sz w:val="16"/>
          <w:szCs w:val="16"/>
        </w:rPr>
        <w:t>25</w:t>
      </w:r>
      <w:r w:rsidRPr="00FB4694">
        <w:rPr>
          <w:sz w:val="16"/>
          <w:szCs w:val="16"/>
        </w:rPr>
        <w:t xml:space="preserve"> articles</w:t>
      </w:r>
      <w:r>
        <w:rPr>
          <w:sz w:val="16"/>
          <w:szCs w:val="16"/>
        </w:rPr>
        <w:t xml:space="preserve"> per person seems</w:t>
      </w:r>
      <w:r w:rsidRPr="00FB4694">
        <w:rPr>
          <w:sz w:val="16"/>
          <w:szCs w:val="16"/>
        </w:rPr>
        <w:t xml:space="preserve"> reasonable. If the actual number were to be </w:t>
      </w:r>
      <w:r>
        <w:rPr>
          <w:sz w:val="16"/>
          <w:szCs w:val="16"/>
        </w:rPr>
        <w:t xml:space="preserve">15 articles per person the </w:t>
      </w:r>
      <w:r w:rsidRPr="00FB4694">
        <w:rPr>
          <w:sz w:val="16"/>
          <w:szCs w:val="16"/>
        </w:rPr>
        <w:t xml:space="preserve">additional cost per article would be around </w:t>
      </w:r>
      <w:r>
        <w:rPr>
          <w:sz w:val="16"/>
          <w:szCs w:val="16"/>
        </w:rPr>
        <w:t>9</w:t>
      </w:r>
      <w:r w:rsidRPr="00FB4694">
        <w:rPr>
          <w:sz w:val="16"/>
          <w:szCs w:val="16"/>
        </w:rPr>
        <w:t xml:space="preserve"> cent</w:t>
      </w:r>
      <w:r>
        <w:rPr>
          <w:sz w:val="16"/>
          <w:szCs w:val="16"/>
        </w:rPr>
        <w:t>s</w:t>
      </w:r>
      <w:r w:rsidRPr="00FB4694">
        <w:rPr>
          <w:sz w:val="16"/>
          <w:szCs w:val="16"/>
        </w:rPr>
        <w:t xml:space="preserve"> per article</w:t>
      </w:r>
      <w:r>
        <w:rPr>
          <w:sz w:val="16"/>
          <w:szCs w:val="16"/>
        </w:rPr>
        <w:t>, and if the number of articles is 35 per person, the additional cost per article would be 4 cents in the first year. These costs per article will decline each year as the additional cost to business falls (as explained in the RIS).</w:t>
      </w:r>
    </w:p>
  </w:footnote>
  <w:footnote w:id="114">
    <w:p w:rsidR="002239EF" w:rsidRPr="006E7881" w:rsidRDefault="002239EF" w:rsidP="003C7A7D">
      <w:pPr>
        <w:pStyle w:val="FootnoteText"/>
        <w:ind w:left="709" w:hanging="709"/>
        <w:rPr>
          <w:sz w:val="16"/>
          <w:szCs w:val="16"/>
          <w:lang w:val="en-AU"/>
        </w:rPr>
      </w:pPr>
      <w:r w:rsidRPr="00FB4694">
        <w:rPr>
          <w:rStyle w:val="FootnoteReference"/>
          <w:sz w:val="16"/>
          <w:szCs w:val="16"/>
        </w:rPr>
        <w:footnoteRef/>
      </w:r>
      <w:r>
        <w:t xml:space="preserve"> </w:t>
      </w:r>
      <w:r>
        <w:rPr>
          <w:lang w:val="en-AU"/>
        </w:rPr>
        <w:tab/>
      </w:r>
      <w:r w:rsidRPr="006E7881">
        <w:rPr>
          <w:sz w:val="16"/>
          <w:szCs w:val="16"/>
          <w:lang w:val="en-AU"/>
        </w:rPr>
        <w:t xml:space="preserve">Australian Bureau of Statistics, </w:t>
      </w:r>
      <w:r w:rsidRPr="006E7881">
        <w:rPr>
          <w:i/>
          <w:sz w:val="16"/>
          <w:szCs w:val="16"/>
          <w:lang w:val="en-AU"/>
        </w:rPr>
        <w:t>8165.0 Counts of Australian Businesses, including Entries and Exits, June 2009 to June 2013</w:t>
      </w:r>
      <w:r w:rsidRPr="006E7881">
        <w:rPr>
          <w:sz w:val="16"/>
          <w:szCs w:val="16"/>
          <w:lang w:val="en-AU"/>
        </w:rPr>
        <w:t xml:space="preserve">, Release date 31 May 2014. Available: </w:t>
      </w:r>
      <w:hyperlink r:id="rId50" w:history="1">
        <w:r w:rsidRPr="006E7881">
          <w:rPr>
            <w:rStyle w:val="Hyperlink"/>
            <w:sz w:val="16"/>
            <w:szCs w:val="16"/>
            <w:lang w:val="en-AU"/>
          </w:rPr>
          <w:t>http://www.abs.gov.au/AUSSTATS/abs@.nsf/DetailsPage/8165.0Jun%202009%20to%20Jun%202013?OpenDocument</w:t>
        </w:r>
      </w:hyperlink>
    </w:p>
  </w:footnote>
  <w:footnote w:id="115">
    <w:p w:rsidR="002239EF" w:rsidRPr="00FB4694" w:rsidRDefault="002239EF" w:rsidP="003C7A7D">
      <w:pPr>
        <w:pStyle w:val="FootnoteText"/>
        <w:ind w:left="709" w:hanging="709"/>
        <w:rPr>
          <w:lang w:val="en-AU"/>
        </w:rPr>
      </w:pPr>
      <w:r w:rsidRPr="00FB4694">
        <w:rPr>
          <w:rStyle w:val="FootnoteReference"/>
          <w:sz w:val="16"/>
          <w:szCs w:val="16"/>
        </w:rPr>
        <w:footnoteRef/>
      </w:r>
      <w:r>
        <w:t xml:space="preserve"> </w:t>
      </w:r>
      <w:r>
        <w:rPr>
          <w:lang w:val="en-AU"/>
        </w:rPr>
        <w:tab/>
      </w:r>
      <w:r w:rsidRPr="00FB4694">
        <w:rPr>
          <w:sz w:val="16"/>
          <w:szCs w:val="16"/>
          <w:lang w:val="en-AU"/>
        </w:rPr>
        <w:t>A ‘non-employing</w:t>
      </w:r>
      <w:r>
        <w:rPr>
          <w:sz w:val="16"/>
          <w:szCs w:val="16"/>
          <w:lang w:val="en-AU"/>
        </w:rPr>
        <w:t>’</w:t>
      </w:r>
      <w:r w:rsidRPr="00FB4694">
        <w:rPr>
          <w:sz w:val="16"/>
          <w:szCs w:val="16"/>
          <w:lang w:val="en-AU"/>
        </w:rPr>
        <w:t xml:space="preserve"> business is defined by the ABS as: a business without an active Income Tax Withholding (ITW) role or which has not remitted ITW for five consecutive quarters. A business which employs and pays a salary to (or plans to employ and pay a salary to) one or more persons, is required to register as such with the </w:t>
      </w:r>
      <w:r w:rsidRPr="007A6B88">
        <w:rPr>
          <w:sz w:val="16"/>
          <w:szCs w:val="16"/>
          <w:lang w:val="en-AU"/>
        </w:rPr>
        <w:t>A</w:t>
      </w:r>
      <w:r>
        <w:rPr>
          <w:sz w:val="16"/>
          <w:szCs w:val="16"/>
          <w:lang w:val="en-AU"/>
        </w:rPr>
        <w:t>ustralian Tax Office and have an ITW role.</w:t>
      </w:r>
      <w:r w:rsidRPr="00FB4694">
        <w:rPr>
          <w:sz w:val="16"/>
          <w:szCs w:val="16"/>
          <w:lang w:val="en-AU"/>
        </w:rPr>
        <w:t xml:space="preserve"> </w:t>
      </w:r>
    </w:p>
  </w:footnote>
  <w:footnote w:id="116">
    <w:p w:rsidR="002239EF" w:rsidRPr="00FB4694" w:rsidRDefault="002239EF" w:rsidP="003C7A7D">
      <w:pPr>
        <w:pStyle w:val="FootnoteText"/>
        <w:rPr>
          <w:lang w:val="en-AU"/>
        </w:rPr>
      </w:pPr>
      <w:r w:rsidRPr="00FB4694">
        <w:rPr>
          <w:rStyle w:val="FootnoteReference"/>
          <w:sz w:val="16"/>
          <w:szCs w:val="16"/>
        </w:rPr>
        <w:footnoteRef/>
      </w:r>
      <w:r>
        <w:t xml:space="preserve"> </w:t>
      </w:r>
      <w:r>
        <w:rPr>
          <w:lang w:val="en-AU"/>
        </w:rPr>
        <w:tab/>
      </w:r>
      <w:r w:rsidRPr="00FB4694">
        <w:rPr>
          <w:sz w:val="16"/>
          <w:szCs w:val="16"/>
          <w:lang w:val="en-AU"/>
        </w:rPr>
        <w:t>Estimated number of additional tests by size of business is based on advice provided by business to the ACCC.</w:t>
      </w:r>
    </w:p>
  </w:footnote>
  <w:footnote w:id="117">
    <w:p w:rsidR="002239EF" w:rsidRPr="00FB4694" w:rsidRDefault="002239EF" w:rsidP="003C7A7D">
      <w:pPr>
        <w:pStyle w:val="FootnoteText"/>
        <w:rPr>
          <w:lang w:val="en-AU"/>
        </w:rPr>
      </w:pPr>
      <w:r w:rsidRPr="00FB4694">
        <w:rPr>
          <w:rStyle w:val="FootnoteReference"/>
          <w:sz w:val="16"/>
          <w:szCs w:val="16"/>
        </w:rPr>
        <w:footnoteRef/>
      </w:r>
      <w:r>
        <w:t xml:space="preserve"> </w:t>
      </w:r>
      <w:r>
        <w:rPr>
          <w:lang w:val="en-AU"/>
        </w:rPr>
        <w:tab/>
      </w:r>
      <w:proofErr w:type="gramStart"/>
      <w:r w:rsidRPr="00FB4694">
        <w:rPr>
          <w:sz w:val="16"/>
          <w:szCs w:val="16"/>
          <w:lang w:val="en-AU"/>
        </w:rPr>
        <w:t>Estimated based on prices quoted by business and the price paid by the ACCC for testing</w:t>
      </w:r>
      <w:r>
        <w:rPr>
          <w:sz w:val="16"/>
          <w:szCs w:val="16"/>
          <w:lang w:val="en-AU"/>
        </w:rPr>
        <w:t>.</w:t>
      </w:r>
      <w:proofErr w:type="gramEnd"/>
    </w:p>
  </w:footnote>
  <w:footnote w:id="118">
    <w:p w:rsidR="002239EF" w:rsidRPr="00FB4694" w:rsidRDefault="002239EF" w:rsidP="00E0764F">
      <w:pPr>
        <w:pStyle w:val="FootnoteText"/>
        <w:ind w:left="709" w:hanging="709"/>
        <w:rPr>
          <w:lang w:val="en-AU"/>
        </w:rPr>
      </w:pPr>
      <w:r w:rsidRPr="00FB4694">
        <w:rPr>
          <w:rStyle w:val="FootnoteReference"/>
          <w:sz w:val="16"/>
          <w:szCs w:val="16"/>
        </w:rPr>
        <w:footnoteRef/>
      </w:r>
      <w:r>
        <w:t xml:space="preserve"> </w:t>
      </w:r>
      <w:r>
        <w:tab/>
      </w:r>
      <w:r w:rsidRPr="00FB4694">
        <w:rPr>
          <w:sz w:val="16"/>
          <w:szCs w:val="16"/>
          <w:lang w:val="en-AU"/>
        </w:rPr>
        <w:t xml:space="preserve">Department of Prime Minister and Cabinet, Office of Best Practice Regulation, </w:t>
      </w:r>
      <w:r w:rsidRPr="00FB4694">
        <w:rPr>
          <w:i/>
          <w:sz w:val="16"/>
          <w:szCs w:val="16"/>
          <w:lang w:val="en-AU"/>
        </w:rPr>
        <w:t>Regulatory Burden Measurement Framework Guidance Note</w:t>
      </w:r>
      <w:r w:rsidRPr="00FB4694">
        <w:rPr>
          <w:sz w:val="16"/>
          <w:szCs w:val="16"/>
          <w:lang w:val="en-AU"/>
        </w:rPr>
        <w:t xml:space="preserve">, July 2014, p.15, available: </w:t>
      </w:r>
      <w:hyperlink r:id="rId51" w:history="1">
        <w:r w:rsidRPr="00FB4694">
          <w:rPr>
            <w:rStyle w:val="Hyperlink"/>
            <w:sz w:val="16"/>
            <w:szCs w:val="16"/>
            <w:lang w:val="en-AU"/>
          </w:rPr>
          <w:t>https://www.dpmc.gov.au/deregulation/obpr/reporting-publications/publications/guidance/docs/005_Regulatory_Burden_Measurement_Framework.pdf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EF" w:rsidRDefault="002239EF" w:rsidP="00AC56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39EF" w:rsidRDefault="00223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EF" w:rsidRDefault="002239EF">
    <w:pPr>
      <w:pStyle w:val="Header"/>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EF" w:rsidRDefault="002239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EBF"/>
    <w:multiLevelType w:val="hybridMultilevel"/>
    <w:tmpl w:val="AAE8F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0659A2"/>
    <w:multiLevelType w:val="hybridMultilevel"/>
    <w:tmpl w:val="B3E859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50B3636"/>
    <w:multiLevelType w:val="hybridMultilevel"/>
    <w:tmpl w:val="C2B65D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60C1B37"/>
    <w:multiLevelType w:val="hybridMultilevel"/>
    <w:tmpl w:val="928A3DE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09716799"/>
    <w:multiLevelType w:val="hybridMultilevel"/>
    <w:tmpl w:val="ABBE2646"/>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9EA76DF"/>
    <w:multiLevelType w:val="hybridMultilevel"/>
    <w:tmpl w:val="3DBA7024"/>
    <w:lvl w:ilvl="0" w:tplc="B426A6E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A0F19E5"/>
    <w:multiLevelType w:val="hybridMultilevel"/>
    <w:tmpl w:val="225EE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A8534A4"/>
    <w:multiLevelType w:val="hybridMultilevel"/>
    <w:tmpl w:val="F0F6A0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A895F9B"/>
    <w:multiLevelType w:val="hybridMultilevel"/>
    <w:tmpl w:val="FB00B50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nsid w:val="0DDF5202"/>
    <w:multiLevelType w:val="hybridMultilevel"/>
    <w:tmpl w:val="D60E5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1FE774C"/>
    <w:multiLevelType w:val="hybridMultilevel"/>
    <w:tmpl w:val="C16E1716"/>
    <w:lvl w:ilvl="0" w:tplc="0C09000F">
      <w:start w:val="1"/>
      <w:numFmt w:val="decimal"/>
      <w:lvlText w:val="%1."/>
      <w:lvlJc w:val="left"/>
      <w:pPr>
        <w:ind w:left="1694" w:hanging="360"/>
      </w:pPr>
    </w:lvl>
    <w:lvl w:ilvl="1" w:tplc="0C090019" w:tentative="1">
      <w:start w:val="1"/>
      <w:numFmt w:val="lowerLetter"/>
      <w:lvlText w:val="%2."/>
      <w:lvlJc w:val="left"/>
      <w:pPr>
        <w:ind w:left="2414" w:hanging="360"/>
      </w:pPr>
    </w:lvl>
    <w:lvl w:ilvl="2" w:tplc="0C09001B" w:tentative="1">
      <w:start w:val="1"/>
      <w:numFmt w:val="lowerRoman"/>
      <w:lvlText w:val="%3."/>
      <w:lvlJc w:val="right"/>
      <w:pPr>
        <w:ind w:left="3134" w:hanging="180"/>
      </w:pPr>
    </w:lvl>
    <w:lvl w:ilvl="3" w:tplc="0C09000F" w:tentative="1">
      <w:start w:val="1"/>
      <w:numFmt w:val="decimal"/>
      <w:lvlText w:val="%4."/>
      <w:lvlJc w:val="left"/>
      <w:pPr>
        <w:ind w:left="3854" w:hanging="360"/>
      </w:pPr>
    </w:lvl>
    <w:lvl w:ilvl="4" w:tplc="0C090019" w:tentative="1">
      <w:start w:val="1"/>
      <w:numFmt w:val="lowerLetter"/>
      <w:lvlText w:val="%5."/>
      <w:lvlJc w:val="left"/>
      <w:pPr>
        <w:ind w:left="4574" w:hanging="360"/>
      </w:pPr>
    </w:lvl>
    <w:lvl w:ilvl="5" w:tplc="0C09001B" w:tentative="1">
      <w:start w:val="1"/>
      <w:numFmt w:val="lowerRoman"/>
      <w:lvlText w:val="%6."/>
      <w:lvlJc w:val="right"/>
      <w:pPr>
        <w:ind w:left="5294" w:hanging="180"/>
      </w:pPr>
    </w:lvl>
    <w:lvl w:ilvl="6" w:tplc="0C09000F" w:tentative="1">
      <w:start w:val="1"/>
      <w:numFmt w:val="decimal"/>
      <w:lvlText w:val="%7."/>
      <w:lvlJc w:val="left"/>
      <w:pPr>
        <w:ind w:left="6014" w:hanging="360"/>
      </w:pPr>
    </w:lvl>
    <w:lvl w:ilvl="7" w:tplc="0C090019" w:tentative="1">
      <w:start w:val="1"/>
      <w:numFmt w:val="lowerLetter"/>
      <w:lvlText w:val="%8."/>
      <w:lvlJc w:val="left"/>
      <w:pPr>
        <w:ind w:left="6734" w:hanging="360"/>
      </w:pPr>
    </w:lvl>
    <w:lvl w:ilvl="8" w:tplc="0C09001B" w:tentative="1">
      <w:start w:val="1"/>
      <w:numFmt w:val="lowerRoman"/>
      <w:lvlText w:val="%9."/>
      <w:lvlJc w:val="right"/>
      <w:pPr>
        <w:ind w:left="7454" w:hanging="180"/>
      </w:pPr>
    </w:lvl>
  </w:abstractNum>
  <w:abstractNum w:abstractNumId="11">
    <w:nsid w:val="14EA4500"/>
    <w:multiLevelType w:val="hybridMultilevel"/>
    <w:tmpl w:val="7E434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52263E0"/>
    <w:multiLevelType w:val="hybridMultilevel"/>
    <w:tmpl w:val="A50066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15562A9E"/>
    <w:multiLevelType w:val="hybridMultilevel"/>
    <w:tmpl w:val="5C663F1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1A78285D"/>
    <w:multiLevelType w:val="hybridMultilevel"/>
    <w:tmpl w:val="7004C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BF12B2A"/>
    <w:multiLevelType w:val="hybridMultilevel"/>
    <w:tmpl w:val="258A9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ED57814"/>
    <w:multiLevelType w:val="hybridMultilevel"/>
    <w:tmpl w:val="B6A67598"/>
    <w:lvl w:ilvl="0" w:tplc="0C090001">
      <w:start w:val="1"/>
      <w:numFmt w:val="bullet"/>
      <w:lvlText w:val=""/>
      <w:lvlJc w:val="left"/>
      <w:pPr>
        <w:ind w:left="990" w:hanging="360"/>
      </w:pPr>
      <w:rPr>
        <w:rFonts w:ascii="Symbol" w:hAnsi="Symbol" w:hint="default"/>
      </w:rPr>
    </w:lvl>
    <w:lvl w:ilvl="1" w:tplc="0C090003">
      <w:start w:val="1"/>
      <w:numFmt w:val="bullet"/>
      <w:lvlText w:val="o"/>
      <w:lvlJc w:val="left"/>
      <w:pPr>
        <w:ind w:left="1710" w:hanging="360"/>
      </w:pPr>
      <w:rPr>
        <w:rFonts w:ascii="Courier New" w:hAnsi="Courier New" w:cs="Courier New" w:hint="default"/>
      </w:rPr>
    </w:lvl>
    <w:lvl w:ilvl="2" w:tplc="0C090005">
      <w:start w:val="1"/>
      <w:numFmt w:val="bullet"/>
      <w:lvlText w:val=""/>
      <w:lvlJc w:val="left"/>
      <w:pPr>
        <w:ind w:left="2430" w:hanging="360"/>
      </w:pPr>
      <w:rPr>
        <w:rFonts w:ascii="Wingdings" w:hAnsi="Wingdings" w:hint="default"/>
      </w:rPr>
    </w:lvl>
    <w:lvl w:ilvl="3" w:tplc="0C090001">
      <w:start w:val="1"/>
      <w:numFmt w:val="bullet"/>
      <w:lvlText w:val=""/>
      <w:lvlJc w:val="left"/>
      <w:pPr>
        <w:ind w:left="3150" w:hanging="360"/>
      </w:pPr>
      <w:rPr>
        <w:rFonts w:ascii="Symbol" w:hAnsi="Symbol" w:hint="default"/>
      </w:rPr>
    </w:lvl>
    <w:lvl w:ilvl="4" w:tplc="0C090003">
      <w:start w:val="1"/>
      <w:numFmt w:val="bullet"/>
      <w:lvlText w:val="o"/>
      <w:lvlJc w:val="left"/>
      <w:pPr>
        <w:ind w:left="3870" w:hanging="360"/>
      </w:pPr>
      <w:rPr>
        <w:rFonts w:ascii="Courier New" w:hAnsi="Courier New" w:cs="Courier New" w:hint="default"/>
      </w:rPr>
    </w:lvl>
    <w:lvl w:ilvl="5" w:tplc="0C090005">
      <w:start w:val="1"/>
      <w:numFmt w:val="bullet"/>
      <w:lvlText w:val=""/>
      <w:lvlJc w:val="left"/>
      <w:pPr>
        <w:ind w:left="4590" w:hanging="360"/>
      </w:pPr>
      <w:rPr>
        <w:rFonts w:ascii="Wingdings" w:hAnsi="Wingdings" w:hint="default"/>
      </w:rPr>
    </w:lvl>
    <w:lvl w:ilvl="6" w:tplc="0C090001">
      <w:start w:val="1"/>
      <w:numFmt w:val="bullet"/>
      <w:lvlText w:val=""/>
      <w:lvlJc w:val="left"/>
      <w:pPr>
        <w:ind w:left="5310" w:hanging="360"/>
      </w:pPr>
      <w:rPr>
        <w:rFonts w:ascii="Symbol" w:hAnsi="Symbol" w:hint="default"/>
      </w:rPr>
    </w:lvl>
    <w:lvl w:ilvl="7" w:tplc="0C090003">
      <w:start w:val="1"/>
      <w:numFmt w:val="bullet"/>
      <w:lvlText w:val="o"/>
      <w:lvlJc w:val="left"/>
      <w:pPr>
        <w:ind w:left="6030" w:hanging="360"/>
      </w:pPr>
      <w:rPr>
        <w:rFonts w:ascii="Courier New" w:hAnsi="Courier New" w:cs="Courier New" w:hint="default"/>
      </w:rPr>
    </w:lvl>
    <w:lvl w:ilvl="8" w:tplc="0C090005">
      <w:start w:val="1"/>
      <w:numFmt w:val="bullet"/>
      <w:lvlText w:val=""/>
      <w:lvlJc w:val="left"/>
      <w:pPr>
        <w:ind w:left="6750" w:hanging="360"/>
      </w:pPr>
      <w:rPr>
        <w:rFonts w:ascii="Wingdings" w:hAnsi="Wingdings" w:hint="default"/>
      </w:rPr>
    </w:lvl>
  </w:abstractNum>
  <w:abstractNum w:abstractNumId="17">
    <w:nsid w:val="250D2B0D"/>
    <w:multiLevelType w:val="hybridMultilevel"/>
    <w:tmpl w:val="B6CC3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8087F2C"/>
    <w:multiLevelType w:val="hybridMultilevel"/>
    <w:tmpl w:val="C8087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29CA5C63"/>
    <w:multiLevelType w:val="hybridMultilevel"/>
    <w:tmpl w:val="088AE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B5767E4"/>
    <w:multiLevelType w:val="hybridMultilevel"/>
    <w:tmpl w:val="1CFC394C"/>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FFC24A6"/>
    <w:multiLevelType w:val="hybridMultilevel"/>
    <w:tmpl w:val="39389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0491232"/>
    <w:multiLevelType w:val="hybridMultilevel"/>
    <w:tmpl w:val="60702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0A605CB"/>
    <w:multiLevelType w:val="multilevel"/>
    <w:tmpl w:val="F154A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2A112A9"/>
    <w:multiLevelType w:val="hybridMultilevel"/>
    <w:tmpl w:val="FEB6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67555D5"/>
    <w:multiLevelType w:val="hybridMultilevel"/>
    <w:tmpl w:val="FF644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7266F39"/>
    <w:multiLevelType w:val="hybridMultilevel"/>
    <w:tmpl w:val="7BDAD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C31365"/>
    <w:multiLevelType w:val="hybridMultilevel"/>
    <w:tmpl w:val="6B3C5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E2F636D"/>
    <w:multiLevelType w:val="hybridMultilevel"/>
    <w:tmpl w:val="46E2E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3F490D9F"/>
    <w:multiLevelType w:val="hybridMultilevel"/>
    <w:tmpl w:val="715C5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1069D4C"/>
    <w:multiLevelType w:val="hybridMultilevel"/>
    <w:tmpl w:val="160A09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20279CD"/>
    <w:multiLevelType w:val="hybridMultilevel"/>
    <w:tmpl w:val="E452A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35A25D2"/>
    <w:multiLevelType w:val="hybridMultilevel"/>
    <w:tmpl w:val="57AA7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3B656C8"/>
    <w:multiLevelType w:val="hybridMultilevel"/>
    <w:tmpl w:val="12021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8F813D8"/>
    <w:multiLevelType w:val="hybridMultilevel"/>
    <w:tmpl w:val="E2046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A427D70"/>
    <w:multiLevelType w:val="hybridMultilevel"/>
    <w:tmpl w:val="0BAC3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C6177C6"/>
    <w:multiLevelType w:val="hybridMultilevel"/>
    <w:tmpl w:val="52BEA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F4607BA"/>
    <w:multiLevelType w:val="hybridMultilevel"/>
    <w:tmpl w:val="2DF2F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nsid w:val="4F6C2DE6"/>
    <w:multiLevelType w:val="hybridMultilevel"/>
    <w:tmpl w:val="F5464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08551D6"/>
    <w:multiLevelType w:val="hybridMultilevel"/>
    <w:tmpl w:val="AA784AFE"/>
    <w:lvl w:ilvl="0" w:tplc="4B9CF188">
      <w:start w:val="1"/>
      <w:numFmt w:val="decimal"/>
      <w:lvlText w:val="%1."/>
      <w:lvlJc w:val="left"/>
      <w:pPr>
        <w:ind w:left="720" w:hanging="360"/>
      </w:pPr>
      <w:rPr>
        <w:color w:val="1F497D"/>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nsid w:val="51445325"/>
    <w:multiLevelType w:val="hybridMultilevel"/>
    <w:tmpl w:val="13E21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nsid w:val="57E70265"/>
    <w:multiLevelType w:val="hybridMultilevel"/>
    <w:tmpl w:val="CA56BF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nsid w:val="5A471838"/>
    <w:multiLevelType w:val="hybridMultilevel"/>
    <w:tmpl w:val="71E01B9E"/>
    <w:lvl w:ilvl="0" w:tplc="E08CF3D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5AD44319"/>
    <w:multiLevelType w:val="hybridMultilevel"/>
    <w:tmpl w:val="B4B8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B4E7EE6"/>
    <w:multiLevelType w:val="multilevel"/>
    <w:tmpl w:val="21FE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0FD229C"/>
    <w:multiLevelType w:val="hybridMultilevel"/>
    <w:tmpl w:val="C234F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1281395"/>
    <w:multiLevelType w:val="hybridMultilevel"/>
    <w:tmpl w:val="B85C1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2DC6A83"/>
    <w:multiLevelType w:val="hybridMultilevel"/>
    <w:tmpl w:val="71DA2462"/>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77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39055BD"/>
    <w:multiLevelType w:val="hybridMultilevel"/>
    <w:tmpl w:val="1B5E6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4EA3D14"/>
    <w:multiLevelType w:val="hybridMultilevel"/>
    <w:tmpl w:val="E2BCD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nsid w:val="67F74D24"/>
    <w:multiLevelType w:val="hybridMultilevel"/>
    <w:tmpl w:val="935C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nsid w:val="683053E0"/>
    <w:multiLevelType w:val="hybridMultilevel"/>
    <w:tmpl w:val="E146B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9287AFB"/>
    <w:multiLevelType w:val="hybridMultilevel"/>
    <w:tmpl w:val="A15004EE"/>
    <w:lvl w:ilvl="0" w:tplc="182E0262">
      <w:start w:val="1"/>
      <w:numFmt w:val="bullet"/>
      <w:lvlText w:val=""/>
      <w:lvlJc w:val="left"/>
      <w:pPr>
        <w:tabs>
          <w:tab w:val="num" w:pos="360"/>
        </w:tabs>
        <w:ind w:left="360" w:hanging="360"/>
      </w:pPr>
      <w:rPr>
        <w:rFonts w:ascii="Symbol" w:hAnsi="Symbol" w:hint="default"/>
        <w:b w:val="0"/>
        <w:sz w:val="28"/>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nsid w:val="6BB00602"/>
    <w:multiLevelType w:val="hybridMultilevel"/>
    <w:tmpl w:val="FD461D18"/>
    <w:lvl w:ilvl="0" w:tplc="357894CE">
      <w:start w:val="1"/>
      <w:numFmt w:val="decimal"/>
      <w:lvlText w:val="%1."/>
      <w:lvlJc w:val="left"/>
      <w:pPr>
        <w:ind w:left="360" w:hanging="360"/>
      </w:pPr>
      <w:rPr>
        <w:rFonts w:hint="default"/>
        <w:sz w:val="3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6D9C4EAF"/>
    <w:multiLevelType w:val="hybridMultilevel"/>
    <w:tmpl w:val="BFFE1DE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5">
    <w:nsid w:val="6E423BE8"/>
    <w:multiLevelType w:val="hybridMultilevel"/>
    <w:tmpl w:val="C3563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24B775E"/>
    <w:multiLevelType w:val="hybridMultilevel"/>
    <w:tmpl w:val="ABAEB1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nsid w:val="73DC206E"/>
    <w:multiLevelType w:val="hybridMultilevel"/>
    <w:tmpl w:val="7BEC95E8"/>
    <w:lvl w:ilvl="0" w:tplc="99E0D12E">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8">
    <w:nsid w:val="751E4DB1"/>
    <w:multiLevelType w:val="hybridMultilevel"/>
    <w:tmpl w:val="A9FE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5383065"/>
    <w:multiLevelType w:val="hybridMultilevel"/>
    <w:tmpl w:val="7B782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5A46AA3"/>
    <w:multiLevelType w:val="hybridMultilevel"/>
    <w:tmpl w:val="A03E1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5F511D6"/>
    <w:multiLevelType w:val="hybridMultilevel"/>
    <w:tmpl w:val="218EC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62821FC"/>
    <w:multiLevelType w:val="hybridMultilevel"/>
    <w:tmpl w:val="EE5E3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A9B4D77"/>
    <w:multiLevelType w:val="hybridMultilevel"/>
    <w:tmpl w:val="11506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BC46749"/>
    <w:multiLevelType w:val="hybridMultilevel"/>
    <w:tmpl w:val="2BD25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EC100C8"/>
    <w:multiLevelType w:val="hybridMultilevel"/>
    <w:tmpl w:val="6784A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ED87567"/>
    <w:multiLevelType w:val="hybridMultilevel"/>
    <w:tmpl w:val="1CC4F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52"/>
  </w:num>
  <w:num w:numId="3">
    <w:abstractNumId w:val="36"/>
  </w:num>
  <w:num w:numId="4">
    <w:abstractNumId w:val="57"/>
  </w:num>
  <w:num w:numId="5">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num>
  <w:num w:numId="10">
    <w:abstractNumId w:val="7"/>
  </w:num>
  <w:num w:numId="11">
    <w:abstractNumId w:val="25"/>
  </w:num>
  <w:num w:numId="12">
    <w:abstractNumId w:val="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3"/>
  </w:num>
  <w:num w:numId="16">
    <w:abstractNumId w:val="47"/>
  </w:num>
  <w:num w:numId="17">
    <w:abstractNumId w:val="27"/>
  </w:num>
  <w:num w:numId="18">
    <w:abstractNumId w:val="53"/>
  </w:num>
  <w:num w:numId="19">
    <w:abstractNumId w:val="61"/>
  </w:num>
  <w:num w:numId="20">
    <w:abstractNumId w:val="63"/>
  </w:num>
  <w:num w:numId="21">
    <w:abstractNumId w:val="1"/>
  </w:num>
  <w:num w:numId="22">
    <w:abstractNumId w:val="31"/>
  </w:num>
  <w:num w:numId="23">
    <w:abstractNumId w:val="65"/>
  </w:num>
  <w:num w:numId="24">
    <w:abstractNumId w:val="21"/>
  </w:num>
  <w:num w:numId="25">
    <w:abstractNumId w:val="42"/>
  </w:num>
  <w:num w:numId="26">
    <w:abstractNumId w:val="10"/>
  </w:num>
  <w:num w:numId="27">
    <w:abstractNumId w:val="0"/>
  </w:num>
  <w:num w:numId="28">
    <w:abstractNumId w:val="45"/>
  </w:num>
  <w:num w:numId="29">
    <w:abstractNumId w:val="2"/>
  </w:num>
  <w:num w:numId="30">
    <w:abstractNumId w:val="12"/>
  </w:num>
  <w:num w:numId="31">
    <w:abstractNumId w:val="24"/>
  </w:num>
  <w:num w:numId="32">
    <w:abstractNumId w:val="62"/>
  </w:num>
  <w:num w:numId="33">
    <w:abstractNumId w:val="30"/>
  </w:num>
  <w:num w:numId="34">
    <w:abstractNumId w:val="35"/>
  </w:num>
  <w:num w:numId="35">
    <w:abstractNumId w:val="63"/>
  </w:num>
  <w:num w:numId="36">
    <w:abstractNumId w:val="28"/>
  </w:num>
  <w:num w:numId="37">
    <w:abstractNumId w:val="4"/>
  </w:num>
  <w:num w:numId="38">
    <w:abstractNumId w:val="1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50"/>
  </w:num>
  <w:num w:numId="44">
    <w:abstractNumId w:val="29"/>
  </w:num>
  <w:num w:numId="45">
    <w:abstractNumId w:val="6"/>
  </w:num>
  <w:num w:numId="46">
    <w:abstractNumId w:val="8"/>
  </w:num>
  <w:num w:numId="47">
    <w:abstractNumId w:val="51"/>
  </w:num>
  <w:num w:numId="48">
    <w:abstractNumId w:val="26"/>
  </w:num>
  <w:num w:numId="49">
    <w:abstractNumId w:val="44"/>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num>
  <w:num w:numId="52">
    <w:abstractNumId w:val="40"/>
  </w:num>
  <w:num w:numId="53">
    <w:abstractNumId w:val="16"/>
  </w:num>
  <w:num w:numId="54">
    <w:abstractNumId w:val="15"/>
  </w:num>
  <w:num w:numId="55">
    <w:abstractNumId w:val="60"/>
  </w:num>
  <w:num w:numId="56">
    <w:abstractNumId w:val="9"/>
  </w:num>
  <w:num w:numId="57">
    <w:abstractNumId w:val="38"/>
  </w:num>
  <w:num w:numId="58">
    <w:abstractNumId w:val="58"/>
  </w:num>
  <w:num w:numId="59">
    <w:abstractNumId w:val="66"/>
  </w:num>
  <w:num w:numId="60">
    <w:abstractNumId w:val="48"/>
  </w:num>
  <w:num w:numId="61">
    <w:abstractNumId w:val="22"/>
  </w:num>
  <w:num w:numId="62">
    <w:abstractNumId w:val="37"/>
  </w:num>
  <w:num w:numId="63">
    <w:abstractNumId w:val="49"/>
  </w:num>
  <w:num w:numId="64">
    <w:abstractNumId w:val="46"/>
  </w:num>
  <w:num w:numId="65">
    <w:abstractNumId w:val="19"/>
  </w:num>
  <w:num w:numId="66">
    <w:abstractNumId w:val="64"/>
  </w:num>
  <w:num w:numId="67">
    <w:abstractNumId w:val="55"/>
  </w:num>
  <w:num w:numId="68">
    <w:abstractNumId w:val="34"/>
  </w:num>
  <w:num w:numId="69">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dchnas-evs02\home$\sbell\ps - cbp - benzidine based dyes - draft regulation impact statement ris - addressing obpr comments made on 5 november 20 (D2014-00155635).docx"/>
  </w:docVars>
  <w:rsids>
    <w:rsidRoot w:val="003442EC"/>
    <w:rsid w:val="00002B5D"/>
    <w:rsid w:val="00003DC8"/>
    <w:rsid w:val="00004EEA"/>
    <w:rsid w:val="00005073"/>
    <w:rsid w:val="000057FA"/>
    <w:rsid w:val="00006802"/>
    <w:rsid w:val="0000724C"/>
    <w:rsid w:val="000076EF"/>
    <w:rsid w:val="00007FCB"/>
    <w:rsid w:val="000103E9"/>
    <w:rsid w:val="000109B2"/>
    <w:rsid w:val="00011327"/>
    <w:rsid w:val="00011A9D"/>
    <w:rsid w:val="00011E03"/>
    <w:rsid w:val="00012208"/>
    <w:rsid w:val="00014D19"/>
    <w:rsid w:val="00015DC1"/>
    <w:rsid w:val="000170E5"/>
    <w:rsid w:val="0001795D"/>
    <w:rsid w:val="0002000A"/>
    <w:rsid w:val="00020E59"/>
    <w:rsid w:val="00022419"/>
    <w:rsid w:val="00023B63"/>
    <w:rsid w:val="00024905"/>
    <w:rsid w:val="00024F4F"/>
    <w:rsid w:val="000272FC"/>
    <w:rsid w:val="00030D54"/>
    <w:rsid w:val="00031DF8"/>
    <w:rsid w:val="00031F78"/>
    <w:rsid w:val="00032420"/>
    <w:rsid w:val="00032F09"/>
    <w:rsid w:val="000344F0"/>
    <w:rsid w:val="000346F3"/>
    <w:rsid w:val="00035DA3"/>
    <w:rsid w:val="00036722"/>
    <w:rsid w:val="00037C2C"/>
    <w:rsid w:val="00040C0C"/>
    <w:rsid w:val="000414DF"/>
    <w:rsid w:val="000414EF"/>
    <w:rsid w:val="0004160F"/>
    <w:rsid w:val="000416A2"/>
    <w:rsid w:val="00041774"/>
    <w:rsid w:val="00042878"/>
    <w:rsid w:val="00044F9B"/>
    <w:rsid w:val="00045FD3"/>
    <w:rsid w:val="00046022"/>
    <w:rsid w:val="0004753F"/>
    <w:rsid w:val="00047894"/>
    <w:rsid w:val="000523A2"/>
    <w:rsid w:val="00052736"/>
    <w:rsid w:val="0005312A"/>
    <w:rsid w:val="00054E5B"/>
    <w:rsid w:val="00057092"/>
    <w:rsid w:val="00057880"/>
    <w:rsid w:val="00057E2C"/>
    <w:rsid w:val="00060B07"/>
    <w:rsid w:val="00060F3A"/>
    <w:rsid w:val="00061A39"/>
    <w:rsid w:val="000621D4"/>
    <w:rsid w:val="00063459"/>
    <w:rsid w:val="00064A71"/>
    <w:rsid w:val="00066C83"/>
    <w:rsid w:val="00067CBA"/>
    <w:rsid w:val="00067E56"/>
    <w:rsid w:val="00067E58"/>
    <w:rsid w:val="00072216"/>
    <w:rsid w:val="00073B18"/>
    <w:rsid w:val="0007460D"/>
    <w:rsid w:val="0007515F"/>
    <w:rsid w:val="00075669"/>
    <w:rsid w:val="00075875"/>
    <w:rsid w:val="00075E03"/>
    <w:rsid w:val="0007603E"/>
    <w:rsid w:val="000768C6"/>
    <w:rsid w:val="00077CDC"/>
    <w:rsid w:val="00080981"/>
    <w:rsid w:val="00081245"/>
    <w:rsid w:val="00082081"/>
    <w:rsid w:val="00082B06"/>
    <w:rsid w:val="00083745"/>
    <w:rsid w:val="00083BFB"/>
    <w:rsid w:val="000852AF"/>
    <w:rsid w:val="00085D25"/>
    <w:rsid w:val="000865A0"/>
    <w:rsid w:val="00086AA8"/>
    <w:rsid w:val="00087359"/>
    <w:rsid w:val="000873B6"/>
    <w:rsid w:val="0008779E"/>
    <w:rsid w:val="00090314"/>
    <w:rsid w:val="00090553"/>
    <w:rsid w:val="000910F8"/>
    <w:rsid w:val="00091754"/>
    <w:rsid w:val="00092371"/>
    <w:rsid w:val="00094EE0"/>
    <w:rsid w:val="0009517A"/>
    <w:rsid w:val="00096AAE"/>
    <w:rsid w:val="00097047"/>
    <w:rsid w:val="000A125D"/>
    <w:rsid w:val="000A272B"/>
    <w:rsid w:val="000A3647"/>
    <w:rsid w:val="000A382B"/>
    <w:rsid w:val="000A3E14"/>
    <w:rsid w:val="000A3E38"/>
    <w:rsid w:val="000A452C"/>
    <w:rsid w:val="000A4F7E"/>
    <w:rsid w:val="000A500E"/>
    <w:rsid w:val="000A5A4A"/>
    <w:rsid w:val="000A5B09"/>
    <w:rsid w:val="000A6504"/>
    <w:rsid w:val="000A659B"/>
    <w:rsid w:val="000A7875"/>
    <w:rsid w:val="000A788B"/>
    <w:rsid w:val="000B0A59"/>
    <w:rsid w:val="000B1247"/>
    <w:rsid w:val="000B2B96"/>
    <w:rsid w:val="000B2F10"/>
    <w:rsid w:val="000B306F"/>
    <w:rsid w:val="000B316D"/>
    <w:rsid w:val="000B3A78"/>
    <w:rsid w:val="000B63C3"/>
    <w:rsid w:val="000B6516"/>
    <w:rsid w:val="000C0B18"/>
    <w:rsid w:val="000C3125"/>
    <w:rsid w:val="000C3128"/>
    <w:rsid w:val="000C3330"/>
    <w:rsid w:val="000C3B7E"/>
    <w:rsid w:val="000C5F49"/>
    <w:rsid w:val="000C6B25"/>
    <w:rsid w:val="000C7073"/>
    <w:rsid w:val="000C737D"/>
    <w:rsid w:val="000C766A"/>
    <w:rsid w:val="000C7768"/>
    <w:rsid w:val="000C7A84"/>
    <w:rsid w:val="000D0896"/>
    <w:rsid w:val="000D09B7"/>
    <w:rsid w:val="000D103A"/>
    <w:rsid w:val="000D1D2F"/>
    <w:rsid w:val="000D1D68"/>
    <w:rsid w:val="000D2070"/>
    <w:rsid w:val="000D2ECF"/>
    <w:rsid w:val="000D66C7"/>
    <w:rsid w:val="000E0073"/>
    <w:rsid w:val="000E0667"/>
    <w:rsid w:val="000E1291"/>
    <w:rsid w:val="000E20B7"/>
    <w:rsid w:val="000E2B25"/>
    <w:rsid w:val="000E2D18"/>
    <w:rsid w:val="000E2D7D"/>
    <w:rsid w:val="000E40A5"/>
    <w:rsid w:val="000E450B"/>
    <w:rsid w:val="000E4969"/>
    <w:rsid w:val="000E5191"/>
    <w:rsid w:val="000E5C64"/>
    <w:rsid w:val="000E7A93"/>
    <w:rsid w:val="000F1243"/>
    <w:rsid w:val="000F1E20"/>
    <w:rsid w:val="000F2396"/>
    <w:rsid w:val="000F284C"/>
    <w:rsid w:val="000F3D8E"/>
    <w:rsid w:val="000F4175"/>
    <w:rsid w:val="000F49D4"/>
    <w:rsid w:val="000F5353"/>
    <w:rsid w:val="000F5FA5"/>
    <w:rsid w:val="000F6FE9"/>
    <w:rsid w:val="00100412"/>
    <w:rsid w:val="001008DF"/>
    <w:rsid w:val="00102AE4"/>
    <w:rsid w:val="001032F3"/>
    <w:rsid w:val="00104A48"/>
    <w:rsid w:val="00104B6E"/>
    <w:rsid w:val="00106403"/>
    <w:rsid w:val="00107357"/>
    <w:rsid w:val="001076A9"/>
    <w:rsid w:val="0011067F"/>
    <w:rsid w:val="001106AC"/>
    <w:rsid w:val="00110A56"/>
    <w:rsid w:val="001113B9"/>
    <w:rsid w:val="00111BBB"/>
    <w:rsid w:val="00114242"/>
    <w:rsid w:val="00114798"/>
    <w:rsid w:val="0011537B"/>
    <w:rsid w:val="001173C9"/>
    <w:rsid w:val="001177B6"/>
    <w:rsid w:val="001178B8"/>
    <w:rsid w:val="001212A7"/>
    <w:rsid w:val="00122C1B"/>
    <w:rsid w:val="00122EA4"/>
    <w:rsid w:val="0012349A"/>
    <w:rsid w:val="001234BB"/>
    <w:rsid w:val="00123A45"/>
    <w:rsid w:val="00123ACD"/>
    <w:rsid w:val="00124464"/>
    <w:rsid w:val="00125244"/>
    <w:rsid w:val="001257EA"/>
    <w:rsid w:val="00125A3C"/>
    <w:rsid w:val="001265B6"/>
    <w:rsid w:val="00126618"/>
    <w:rsid w:val="001266C9"/>
    <w:rsid w:val="00126BCF"/>
    <w:rsid w:val="001270D4"/>
    <w:rsid w:val="0013062C"/>
    <w:rsid w:val="0013066C"/>
    <w:rsid w:val="00130A59"/>
    <w:rsid w:val="00130A7C"/>
    <w:rsid w:val="001313F8"/>
    <w:rsid w:val="00131D25"/>
    <w:rsid w:val="00131E77"/>
    <w:rsid w:val="001341DC"/>
    <w:rsid w:val="001345C1"/>
    <w:rsid w:val="001346C2"/>
    <w:rsid w:val="00135C7D"/>
    <w:rsid w:val="001372E8"/>
    <w:rsid w:val="00137A3E"/>
    <w:rsid w:val="00137EAF"/>
    <w:rsid w:val="00137EB3"/>
    <w:rsid w:val="00140058"/>
    <w:rsid w:val="001402CB"/>
    <w:rsid w:val="0014091F"/>
    <w:rsid w:val="00140BC8"/>
    <w:rsid w:val="00141185"/>
    <w:rsid w:val="001416EB"/>
    <w:rsid w:val="00141905"/>
    <w:rsid w:val="00142C2A"/>
    <w:rsid w:val="001432FA"/>
    <w:rsid w:val="00143ECC"/>
    <w:rsid w:val="001457EC"/>
    <w:rsid w:val="00146C7D"/>
    <w:rsid w:val="001479A8"/>
    <w:rsid w:val="00147C1D"/>
    <w:rsid w:val="00150B9B"/>
    <w:rsid w:val="00151EB9"/>
    <w:rsid w:val="0015289C"/>
    <w:rsid w:val="00152C2F"/>
    <w:rsid w:val="00153D08"/>
    <w:rsid w:val="001551A9"/>
    <w:rsid w:val="001566C4"/>
    <w:rsid w:val="00160981"/>
    <w:rsid w:val="001617D7"/>
    <w:rsid w:val="00161992"/>
    <w:rsid w:val="00162E82"/>
    <w:rsid w:val="0016333B"/>
    <w:rsid w:val="001641B2"/>
    <w:rsid w:val="001642A3"/>
    <w:rsid w:val="001643A1"/>
    <w:rsid w:val="00164C2C"/>
    <w:rsid w:val="00165725"/>
    <w:rsid w:val="00166E9A"/>
    <w:rsid w:val="00167C5C"/>
    <w:rsid w:val="0017085E"/>
    <w:rsid w:val="001724F5"/>
    <w:rsid w:val="0017479A"/>
    <w:rsid w:val="00175A01"/>
    <w:rsid w:val="0017661F"/>
    <w:rsid w:val="0017733C"/>
    <w:rsid w:val="001773D8"/>
    <w:rsid w:val="0018026C"/>
    <w:rsid w:val="00181268"/>
    <w:rsid w:val="001818E6"/>
    <w:rsid w:val="00183E47"/>
    <w:rsid w:val="0018472C"/>
    <w:rsid w:val="00184981"/>
    <w:rsid w:val="0018676C"/>
    <w:rsid w:val="0018786E"/>
    <w:rsid w:val="001905FC"/>
    <w:rsid w:val="0019075C"/>
    <w:rsid w:val="0019260C"/>
    <w:rsid w:val="001941F2"/>
    <w:rsid w:val="00194827"/>
    <w:rsid w:val="001971DF"/>
    <w:rsid w:val="001A06F9"/>
    <w:rsid w:val="001A0C20"/>
    <w:rsid w:val="001A2014"/>
    <w:rsid w:val="001A2E24"/>
    <w:rsid w:val="001A33FA"/>
    <w:rsid w:val="001A354F"/>
    <w:rsid w:val="001A3688"/>
    <w:rsid w:val="001A59D6"/>
    <w:rsid w:val="001A615B"/>
    <w:rsid w:val="001A6B4C"/>
    <w:rsid w:val="001A7157"/>
    <w:rsid w:val="001A72F4"/>
    <w:rsid w:val="001A78EF"/>
    <w:rsid w:val="001B00F8"/>
    <w:rsid w:val="001B02BF"/>
    <w:rsid w:val="001B1674"/>
    <w:rsid w:val="001B3428"/>
    <w:rsid w:val="001B3A7D"/>
    <w:rsid w:val="001B4906"/>
    <w:rsid w:val="001B5130"/>
    <w:rsid w:val="001B5B0A"/>
    <w:rsid w:val="001B5C9D"/>
    <w:rsid w:val="001B6023"/>
    <w:rsid w:val="001B7101"/>
    <w:rsid w:val="001B7188"/>
    <w:rsid w:val="001C06AA"/>
    <w:rsid w:val="001C07B4"/>
    <w:rsid w:val="001C1E63"/>
    <w:rsid w:val="001C22F3"/>
    <w:rsid w:val="001C2563"/>
    <w:rsid w:val="001C2BEB"/>
    <w:rsid w:val="001C3FF9"/>
    <w:rsid w:val="001C5300"/>
    <w:rsid w:val="001C7B2E"/>
    <w:rsid w:val="001C7D30"/>
    <w:rsid w:val="001D04EE"/>
    <w:rsid w:val="001D0776"/>
    <w:rsid w:val="001D0AA1"/>
    <w:rsid w:val="001D2191"/>
    <w:rsid w:val="001D2869"/>
    <w:rsid w:val="001D29B6"/>
    <w:rsid w:val="001D46E8"/>
    <w:rsid w:val="001D4A60"/>
    <w:rsid w:val="001D56A7"/>
    <w:rsid w:val="001D5E20"/>
    <w:rsid w:val="001D645A"/>
    <w:rsid w:val="001D68C6"/>
    <w:rsid w:val="001D7939"/>
    <w:rsid w:val="001E015C"/>
    <w:rsid w:val="001E0779"/>
    <w:rsid w:val="001E0F35"/>
    <w:rsid w:val="001E1236"/>
    <w:rsid w:val="001E3A06"/>
    <w:rsid w:val="001E5806"/>
    <w:rsid w:val="001E5942"/>
    <w:rsid w:val="001E5A7D"/>
    <w:rsid w:val="001E5F70"/>
    <w:rsid w:val="001E6228"/>
    <w:rsid w:val="001E761D"/>
    <w:rsid w:val="001E7685"/>
    <w:rsid w:val="001E7691"/>
    <w:rsid w:val="001E76D2"/>
    <w:rsid w:val="001F0EAC"/>
    <w:rsid w:val="001F2645"/>
    <w:rsid w:val="001F2DFD"/>
    <w:rsid w:val="001F3437"/>
    <w:rsid w:val="001F37DA"/>
    <w:rsid w:val="001F4007"/>
    <w:rsid w:val="001F4323"/>
    <w:rsid w:val="001F4765"/>
    <w:rsid w:val="001F504E"/>
    <w:rsid w:val="001F61A1"/>
    <w:rsid w:val="00200BE4"/>
    <w:rsid w:val="00201BB2"/>
    <w:rsid w:val="00202E70"/>
    <w:rsid w:val="00203197"/>
    <w:rsid w:val="00203397"/>
    <w:rsid w:val="00205D8E"/>
    <w:rsid w:val="00206761"/>
    <w:rsid w:val="002068E7"/>
    <w:rsid w:val="00206917"/>
    <w:rsid w:val="00210F8C"/>
    <w:rsid w:val="002111F8"/>
    <w:rsid w:val="00211289"/>
    <w:rsid w:val="00211385"/>
    <w:rsid w:val="00212995"/>
    <w:rsid w:val="00213FEF"/>
    <w:rsid w:val="00214475"/>
    <w:rsid w:val="00215260"/>
    <w:rsid w:val="002161E5"/>
    <w:rsid w:val="002167A5"/>
    <w:rsid w:val="00220C47"/>
    <w:rsid w:val="00220D15"/>
    <w:rsid w:val="00220F93"/>
    <w:rsid w:val="00221271"/>
    <w:rsid w:val="002218C4"/>
    <w:rsid w:val="00221D45"/>
    <w:rsid w:val="00222219"/>
    <w:rsid w:val="002226F4"/>
    <w:rsid w:val="00222791"/>
    <w:rsid w:val="0022374A"/>
    <w:rsid w:val="002239EF"/>
    <w:rsid w:val="0022465D"/>
    <w:rsid w:val="00224DE2"/>
    <w:rsid w:val="0022514F"/>
    <w:rsid w:val="0022658E"/>
    <w:rsid w:val="00230485"/>
    <w:rsid w:val="002349BC"/>
    <w:rsid w:val="00235960"/>
    <w:rsid w:val="00236163"/>
    <w:rsid w:val="002362BA"/>
    <w:rsid w:val="002371C8"/>
    <w:rsid w:val="002415E2"/>
    <w:rsid w:val="00243802"/>
    <w:rsid w:val="00244119"/>
    <w:rsid w:val="002449EC"/>
    <w:rsid w:val="002457E7"/>
    <w:rsid w:val="002458A2"/>
    <w:rsid w:val="00245C9D"/>
    <w:rsid w:val="00245CCC"/>
    <w:rsid w:val="0024632E"/>
    <w:rsid w:val="00246364"/>
    <w:rsid w:val="00246C95"/>
    <w:rsid w:val="00250436"/>
    <w:rsid w:val="0025096A"/>
    <w:rsid w:val="00250AC9"/>
    <w:rsid w:val="00251830"/>
    <w:rsid w:val="00251914"/>
    <w:rsid w:val="002524F1"/>
    <w:rsid w:val="002529FB"/>
    <w:rsid w:val="00252B8C"/>
    <w:rsid w:val="00252D61"/>
    <w:rsid w:val="00252DB7"/>
    <w:rsid w:val="002549E2"/>
    <w:rsid w:val="00254B15"/>
    <w:rsid w:val="00255D52"/>
    <w:rsid w:val="00255DB7"/>
    <w:rsid w:val="00256F05"/>
    <w:rsid w:val="002576AF"/>
    <w:rsid w:val="002600BF"/>
    <w:rsid w:val="0026013B"/>
    <w:rsid w:val="002610BE"/>
    <w:rsid w:val="0026153F"/>
    <w:rsid w:val="00261A72"/>
    <w:rsid w:val="00261D40"/>
    <w:rsid w:val="002636C5"/>
    <w:rsid w:val="0026476B"/>
    <w:rsid w:val="00264DB1"/>
    <w:rsid w:val="002658CC"/>
    <w:rsid w:val="00265DE8"/>
    <w:rsid w:val="002660A9"/>
    <w:rsid w:val="00266360"/>
    <w:rsid w:val="0026653C"/>
    <w:rsid w:val="00267C14"/>
    <w:rsid w:val="00271224"/>
    <w:rsid w:val="00274388"/>
    <w:rsid w:val="00274BB1"/>
    <w:rsid w:val="00275208"/>
    <w:rsid w:val="00276013"/>
    <w:rsid w:val="0028008E"/>
    <w:rsid w:val="002800FE"/>
    <w:rsid w:val="00280DCB"/>
    <w:rsid w:val="00281A58"/>
    <w:rsid w:val="00281A93"/>
    <w:rsid w:val="0028247F"/>
    <w:rsid w:val="002850D2"/>
    <w:rsid w:val="00285289"/>
    <w:rsid w:val="00285ECF"/>
    <w:rsid w:val="0028751E"/>
    <w:rsid w:val="00287D7C"/>
    <w:rsid w:val="00287DB0"/>
    <w:rsid w:val="00290A78"/>
    <w:rsid w:val="0029111E"/>
    <w:rsid w:val="00293289"/>
    <w:rsid w:val="0029394F"/>
    <w:rsid w:val="00294A4C"/>
    <w:rsid w:val="002961AD"/>
    <w:rsid w:val="002961F9"/>
    <w:rsid w:val="002964BD"/>
    <w:rsid w:val="0029661A"/>
    <w:rsid w:val="002A06A8"/>
    <w:rsid w:val="002A0CDD"/>
    <w:rsid w:val="002A0D2C"/>
    <w:rsid w:val="002A1695"/>
    <w:rsid w:val="002A2319"/>
    <w:rsid w:val="002A2B67"/>
    <w:rsid w:val="002A45D3"/>
    <w:rsid w:val="002A5A48"/>
    <w:rsid w:val="002A7F6F"/>
    <w:rsid w:val="002B0A42"/>
    <w:rsid w:val="002B13D3"/>
    <w:rsid w:val="002B3B92"/>
    <w:rsid w:val="002B496D"/>
    <w:rsid w:val="002B4DAC"/>
    <w:rsid w:val="002B6540"/>
    <w:rsid w:val="002B7FFB"/>
    <w:rsid w:val="002C0EBE"/>
    <w:rsid w:val="002C16C6"/>
    <w:rsid w:val="002C1FAF"/>
    <w:rsid w:val="002C20E2"/>
    <w:rsid w:val="002C24D7"/>
    <w:rsid w:val="002C2861"/>
    <w:rsid w:val="002C2EA5"/>
    <w:rsid w:val="002C365B"/>
    <w:rsid w:val="002C39E8"/>
    <w:rsid w:val="002C40A9"/>
    <w:rsid w:val="002C5DD9"/>
    <w:rsid w:val="002C6182"/>
    <w:rsid w:val="002C7AC5"/>
    <w:rsid w:val="002D1AFD"/>
    <w:rsid w:val="002D1DC4"/>
    <w:rsid w:val="002D2420"/>
    <w:rsid w:val="002D316F"/>
    <w:rsid w:val="002D4DCA"/>
    <w:rsid w:val="002D599C"/>
    <w:rsid w:val="002D6D15"/>
    <w:rsid w:val="002D7436"/>
    <w:rsid w:val="002E01D2"/>
    <w:rsid w:val="002E0352"/>
    <w:rsid w:val="002E0637"/>
    <w:rsid w:val="002E0A90"/>
    <w:rsid w:val="002E273D"/>
    <w:rsid w:val="002E2E50"/>
    <w:rsid w:val="002E3714"/>
    <w:rsid w:val="002E3C7F"/>
    <w:rsid w:val="002E443B"/>
    <w:rsid w:val="002E4801"/>
    <w:rsid w:val="002E50C5"/>
    <w:rsid w:val="002E5B27"/>
    <w:rsid w:val="002E6688"/>
    <w:rsid w:val="002E7809"/>
    <w:rsid w:val="002E7F48"/>
    <w:rsid w:val="002F0140"/>
    <w:rsid w:val="002F0449"/>
    <w:rsid w:val="002F0879"/>
    <w:rsid w:val="002F14E4"/>
    <w:rsid w:val="002F173E"/>
    <w:rsid w:val="002F1A62"/>
    <w:rsid w:val="002F40D0"/>
    <w:rsid w:val="002F52FD"/>
    <w:rsid w:val="002F749F"/>
    <w:rsid w:val="002F785A"/>
    <w:rsid w:val="002F7FCA"/>
    <w:rsid w:val="00300E64"/>
    <w:rsid w:val="00301B69"/>
    <w:rsid w:val="003029F8"/>
    <w:rsid w:val="00302C45"/>
    <w:rsid w:val="00303538"/>
    <w:rsid w:val="003045C0"/>
    <w:rsid w:val="00304AA5"/>
    <w:rsid w:val="00305175"/>
    <w:rsid w:val="00306805"/>
    <w:rsid w:val="00306974"/>
    <w:rsid w:val="00306AF7"/>
    <w:rsid w:val="00310E9B"/>
    <w:rsid w:val="00312631"/>
    <w:rsid w:val="00312F9A"/>
    <w:rsid w:val="003131D0"/>
    <w:rsid w:val="00313837"/>
    <w:rsid w:val="00314877"/>
    <w:rsid w:val="00314D31"/>
    <w:rsid w:val="0031543B"/>
    <w:rsid w:val="0031621B"/>
    <w:rsid w:val="00316A7E"/>
    <w:rsid w:val="00316B84"/>
    <w:rsid w:val="00316C58"/>
    <w:rsid w:val="003209D6"/>
    <w:rsid w:val="00322B47"/>
    <w:rsid w:val="00322C0F"/>
    <w:rsid w:val="003232F6"/>
    <w:rsid w:val="0032357D"/>
    <w:rsid w:val="003238D0"/>
    <w:rsid w:val="00324997"/>
    <w:rsid w:val="00325DBA"/>
    <w:rsid w:val="00326419"/>
    <w:rsid w:val="00326885"/>
    <w:rsid w:val="00326A0E"/>
    <w:rsid w:val="00326D7A"/>
    <w:rsid w:val="00326E3F"/>
    <w:rsid w:val="00326FF3"/>
    <w:rsid w:val="003273F8"/>
    <w:rsid w:val="003315EA"/>
    <w:rsid w:val="0033163B"/>
    <w:rsid w:val="00331963"/>
    <w:rsid w:val="00332035"/>
    <w:rsid w:val="00335DA3"/>
    <w:rsid w:val="00337066"/>
    <w:rsid w:val="00337BFF"/>
    <w:rsid w:val="003400BC"/>
    <w:rsid w:val="003402C8"/>
    <w:rsid w:val="00341256"/>
    <w:rsid w:val="003421F4"/>
    <w:rsid w:val="00343ECD"/>
    <w:rsid w:val="003442EC"/>
    <w:rsid w:val="00345403"/>
    <w:rsid w:val="00345D16"/>
    <w:rsid w:val="003465EA"/>
    <w:rsid w:val="00347306"/>
    <w:rsid w:val="00350459"/>
    <w:rsid w:val="00351A86"/>
    <w:rsid w:val="00352FA2"/>
    <w:rsid w:val="0035305D"/>
    <w:rsid w:val="003538A1"/>
    <w:rsid w:val="0035413E"/>
    <w:rsid w:val="003541B3"/>
    <w:rsid w:val="00355D56"/>
    <w:rsid w:val="0035670F"/>
    <w:rsid w:val="00356CE0"/>
    <w:rsid w:val="00357484"/>
    <w:rsid w:val="00357E1E"/>
    <w:rsid w:val="00360306"/>
    <w:rsid w:val="003610A9"/>
    <w:rsid w:val="00361DA0"/>
    <w:rsid w:val="00361DA9"/>
    <w:rsid w:val="0036229A"/>
    <w:rsid w:val="0036243F"/>
    <w:rsid w:val="0036280E"/>
    <w:rsid w:val="00364006"/>
    <w:rsid w:val="00364687"/>
    <w:rsid w:val="00364E31"/>
    <w:rsid w:val="00365348"/>
    <w:rsid w:val="00365E00"/>
    <w:rsid w:val="00366501"/>
    <w:rsid w:val="00366C5C"/>
    <w:rsid w:val="00367740"/>
    <w:rsid w:val="00367D49"/>
    <w:rsid w:val="00370454"/>
    <w:rsid w:val="0037056E"/>
    <w:rsid w:val="003705B1"/>
    <w:rsid w:val="00371229"/>
    <w:rsid w:val="00371DFE"/>
    <w:rsid w:val="00371EEE"/>
    <w:rsid w:val="00373CD8"/>
    <w:rsid w:val="00373D05"/>
    <w:rsid w:val="00373DF6"/>
    <w:rsid w:val="00375684"/>
    <w:rsid w:val="00376B35"/>
    <w:rsid w:val="0037778C"/>
    <w:rsid w:val="003778AA"/>
    <w:rsid w:val="00380015"/>
    <w:rsid w:val="0038075E"/>
    <w:rsid w:val="00380F71"/>
    <w:rsid w:val="00382B67"/>
    <w:rsid w:val="00382C1F"/>
    <w:rsid w:val="00383005"/>
    <w:rsid w:val="00384063"/>
    <w:rsid w:val="00385603"/>
    <w:rsid w:val="00385B9C"/>
    <w:rsid w:val="00386155"/>
    <w:rsid w:val="00386161"/>
    <w:rsid w:val="00386570"/>
    <w:rsid w:val="003868D1"/>
    <w:rsid w:val="00386AE5"/>
    <w:rsid w:val="00386B09"/>
    <w:rsid w:val="003875F5"/>
    <w:rsid w:val="0039024B"/>
    <w:rsid w:val="00390872"/>
    <w:rsid w:val="00390CD2"/>
    <w:rsid w:val="00391C2A"/>
    <w:rsid w:val="00391F62"/>
    <w:rsid w:val="003925DD"/>
    <w:rsid w:val="00392697"/>
    <w:rsid w:val="00392A1D"/>
    <w:rsid w:val="0039341D"/>
    <w:rsid w:val="00394F47"/>
    <w:rsid w:val="00395621"/>
    <w:rsid w:val="00395F77"/>
    <w:rsid w:val="0039637A"/>
    <w:rsid w:val="0039736F"/>
    <w:rsid w:val="003A035F"/>
    <w:rsid w:val="003A075A"/>
    <w:rsid w:val="003A099B"/>
    <w:rsid w:val="003A115B"/>
    <w:rsid w:val="003A1AF1"/>
    <w:rsid w:val="003A2B1E"/>
    <w:rsid w:val="003A305F"/>
    <w:rsid w:val="003A3E16"/>
    <w:rsid w:val="003A4EB2"/>
    <w:rsid w:val="003A5C26"/>
    <w:rsid w:val="003A79A8"/>
    <w:rsid w:val="003A7B93"/>
    <w:rsid w:val="003B0E9F"/>
    <w:rsid w:val="003B3288"/>
    <w:rsid w:val="003B3A1E"/>
    <w:rsid w:val="003B3E38"/>
    <w:rsid w:val="003B4775"/>
    <w:rsid w:val="003B47E4"/>
    <w:rsid w:val="003B4FD9"/>
    <w:rsid w:val="003B5053"/>
    <w:rsid w:val="003B5460"/>
    <w:rsid w:val="003B60DC"/>
    <w:rsid w:val="003B6AE3"/>
    <w:rsid w:val="003B7C00"/>
    <w:rsid w:val="003B7DDD"/>
    <w:rsid w:val="003C00E0"/>
    <w:rsid w:val="003C01DC"/>
    <w:rsid w:val="003C175F"/>
    <w:rsid w:val="003C1C2B"/>
    <w:rsid w:val="003C2120"/>
    <w:rsid w:val="003C271E"/>
    <w:rsid w:val="003C2F46"/>
    <w:rsid w:val="003C3A72"/>
    <w:rsid w:val="003C3D0B"/>
    <w:rsid w:val="003C4334"/>
    <w:rsid w:val="003C59D3"/>
    <w:rsid w:val="003C6013"/>
    <w:rsid w:val="003C62B4"/>
    <w:rsid w:val="003C681B"/>
    <w:rsid w:val="003C6E12"/>
    <w:rsid w:val="003C7136"/>
    <w:rsid w:val="003C7746"/>
    <w:rsid w:val="003C78BE"/>
    <w:rsid w:val="003C7A7D"/>
    <w:rsid w:val="003D08A9"/>
    <w:rsid w:val="003D0911"/>
    <w:rsid w:val="003D1706"/>
    <w:rsid w:val="003D22AC"/>
    <w:rsid w:val="003D5F43"/>
    <w:rsid w:val="003D62EA"/>
    <w:rsid w:val="003D7291"/>
    <w:rsid w:val="003D7565"/>
    <w:rsid w:val="003E04B2"/>
    <w:rsid w:val="003E0A8B"/>
    <w:rsid w:val="003E0D63"/>
    <w:rsid w:val="003E10C9"/>
    <w:rsid w:val="003E3497"/>
    <w:rsid w:val="003E349E"/>
    <w:rsid w:val="003E3B20"/>
    <w:rsid w:val="003E4F4E"/>
    <w:rsid w:val="003E5153"/>
    <w:rsid w:val="003E6408"/>
    <w:rsid w:val="003F0328"/>
    <w:rsid w:val="003F23F0"/>
    <w:rsid w:val="003F324C"/>
    <w:rsid w:val="003F3E36"/>
    <w:rsid w:val="003F41E4"/>
    <w:rsid w:val="003F4C2E"/>
    <w:rsid w:val="003F50CB"/>
    <w:rsid w:val="003F52B4"/>
    <w:rsid w:val="003F5C2F"/>
    <w:rsid w:val="003F6BDC"/>
    <w:rsid w:val="003F7619"/>
    <w:rsid w:val="003F7C61"/>
    <w:rsid w:val="004014D7"/>
    <w:rsid w:val="00401692"/>
    <w:rsid w:val="00402292"/>
    <w:rsid w:val="00402A32"/>
    <w:rsid w:val="00403678"/>
    <w:rsid w:val="00403706"/>
    <w:rsid w:val="00403D86"/>
    <w:rsid w:val="00404344"/>
    <w:rsid w:val="004047E7"/>
    <w:rsid w:val="004053C8"/>
    <w:rsid w:val="00405740"/>
    <w:rsid w:val="0040613A"/>
    <w:rsid w:val="00406199"/>
    <w:rsid w:val="00411ABD"/>
    <w:rsid w:val="0041312E"/>
    <w:rsid w:val="004134CC"/>
    <w:rsid w:val="00413929"/>
    <w:rsid w:val="00414226"/>
    <w:rsid w:val="004163F1"/>
    <w:rsid w:val="00416C10"/>
    <w:rsid w:val="00416DD5"/>
    <w:rsid w:val="004172B3"/>
    <w:rsid w:val="0042058E"/>
    <w:rsid w:val="00420E1B"/>
    <w:rsid w:val="00421E2F"/>
    <w:rsid w:val="00422C7D"/>
    <w:rsid w:val="00424798"/>
    <w:rsid w:val="004250D5"/>
    <w:rsid w:val="0042513D"/>
    <w:rsid w:val="0042565F"/>
    <w:rsid w:val="004258D5"/>
    <w:rsid w:val="004279C6"/>
    <w:rsid w:val="00431225"/>
    <w:rsid w:val="004324C5"/>
    <w:rsid w:val="00432565"/>
    <w:rsid w:val="00432DF0"/>
    <w:rsid w:val="00432FE6"/>
    <w:rsid w:val="00434B20"/>
    <w:rsid w:val="00434FD3"/>
    <w:rsid w:val="0043598B"/>
    <w:rsid w:val="00435B03"/>
    <w:rsid w:val="0043644B"/>
    <w:rsid w:val="00436EA2"/>
    <w:rsid w:val="0043789E"/>
    <w:rsid w:val="004407F8"/>
    <w:rsid w:val="00440DE8"/>
    <w:rsid w:val="00444E87"/>
    <w:rsid w:val="00445D0E"/>
    <w:rsid w:val="00446BF5"/>
    <w:rsid w:val="00446EF8"/>
    <w:rsid w:val="004470E8"/>
    <w:rsid w:val="004477B2"/>
    <w:rsid w:val="00451A26"/>
    <w:rsid w:val="00451C44"/>
    <w:rsid w:val="004529B0"/>
    <w:rsid w:val="004532C1"/>
    <w:rsid w:val="00453E2E"/>
    <w:rsid w:val="00453F92"/>
    <w:rsid w:val="004544B7"/>
    <w:rsid w:val="00455D8D"/>
    <w:rsid w:val="00457580"/>
    <w:rsid w:val="0046121C"/>
    <w:rsid w:val="004636A6"/>
    <w:rsid w:val="00465158"/>
    <w:rsid w:val="00466D69"/>
    <w:rsid w:val="00466E82"/>
    <w:rsid w:val="004678E8"/>
    <w:rsid w:val="00471ED0"/>
    <w:rsid w:val="004721FF"/>
    <w:rsid w:val="00472CD5"/>
    <w:rsid w:val="004736E3"/>
    <w:rsid w:val="00473CCF"/>
    <w:rsid w:val="00474013"/>
    <w:rsid w:val="00474271"/>
    <w:rsid w:val="0047599F"/>
    <w:rsid w:val="0047610B"/>
    <w:rsid w:val="00476434"/>
    <w:rsid w:val="00476827"/>
    <w:rsid w:val="004776B6"/>
    <w:rsid w:val="00480F94"/>
    <w:rsid w:val="0048133E"/>
    <w:rsid w:val="00481AE2"/>
    <w:rsid w:val="00483814"/>
    <w:rsid w:val="004857DC"/>
    <w:rsid w:val="00485ECA"/>
    <w:rsid w:val="004869E4"/>
    <w:rsid w:val="004869ED"/>
    <w:rsid w:val="0048704C"/>
    <w:rsid w:val="00487DC0"/>
    <w:rsid w:val="0049041D"/>
    <w:rsid w:val="00491037"/>
    <w:rsid w:val="004921F4"/>
    <w:rsid w:val="0049250E"/>
    <w:rsid w:val="00493C8B"/>
    <w:rsid w:val="004950B5"/>
    <w:rsid w:val="004954B8"/>
    <w:rsid w:val="004955A1"/>
    <w:rsid w:val="00496AD4"/>
    <w:rsid w:val="00497B6D"/>
    <w:rsid w:val="004A0566"/>
    <w:rsid w:val="004A30F0"/>
    <w:rsid w:val="004A474B"/>
    <w:rsid w:val="004A48A8"/>
    <w:rsid w:val="004A7819"/>
    <w:rsid w:val="004A7CE9"/>
    <w:rsid w:val="004B0BA2"/>
    <w:rsid w:val="004B1820"/>
    <w:rsid w:val="004B33CF"/>
    <w:rsid w:val="004B5001"/>
    <w:rsid w:val="004B5231"/>
    <w:rsid w:val="004B5618"/>
    <w:rsid w:val="004B57CF"/>
    <w:rsid w:val="004B5996"/>
    <w:rsid w:val="004B5D4B"/>
    <w:rsid w:val="004B678C"/>
    <w:rsid w:val="004B7ECE"/>
    <w:rsid w:val="004C24DC"/>
    <w:rsid w:val="004C28BC"/>
    <w:rsid w:val="004C2A5E"/>
    <w:rsid w:val="004C309F"/>
    <w:rsid w:val="004C4916"/>
    <w:rsid w:val="004C5B2B"/>
    <w:rsid w:val="004C5D43"/>
    <w:rsid w:val="004C791D"/>
    <w:rsid w:val="004D03C6"/>
    <w:rsid w:val="004D1B5E"/>
    <w:rsid w:val="004D214B"/>
    <w:rsid w:val="004D29F7"/>
    <w:rsid w:val="004D4D41"/>
    <w:rsid w:val="004D52FE"/>
    <w:rsid w:val="004D5CF9"/>
    <w:rsid w:val="004D711D"/>
    <w:rsid w:val="004E22D9"/>
    <w:rsid w:val="004E2917"/>
    <w:rsid w:val="004E3C62"/>
    <w:rsid w:val="004E4347"/>
    <w:rsid w:val="004E4A6C"/>
    <w:rsid w:val="004E5309"/>
    <w:rsid w:val="004E60DD"/>
    <w:rsid w:val="004E6968"/>
    <w:rsid w:val="004E6EF4"/>
    <w:rsid w:val="004E70D1"/>
    <w:rsid w:val="004E783F"/>
    <w:rsid w:val="004F046B"/>
    <w:rsid w:val="004F209A"/>
    <w:rsid w:val="004F4F7D"/>
    <w:rsid w:val="004F6C7F"/>
    <w:rsid w:val="005006D2"/>
    <w:rsid w:val="00501C58"/>
    <w:rsid w:val="005026E8"/>
    <w:rsid w:val="00502848"/>
    <w:rsid w:val="005028BB"/>
    <w:rsid w:val="00502B5F"/>
    <w:rsid w:val="00503E14"/>
    <w:rsid w:val="005051BF"/>
    <w:rsid w:val="00505206"/>
    <w:rsid w:val="00505DC2"/>
    <w:rsid w:val="005061D4"/>
    <w:rsid w:val="0050702D"/>
    <w:rsid w:val="005108E0"/>
    <w:rsid w:val="00511352"/>
    <w:rsid w:val="00511555"/>
    <w:rsid w:val="00512099"/>
    <w:rsid w:val="005136EE"/>
    <w:rsid w:val="0051462C"/>
    <w:rsid w:val="00514AFC"/>
    <w:rsid w:val="005154CA"/>
    <w:rsid w:val="005161C6"/>
    <w:rsid w:val="00516504"/>
    <w:rsid w:val="0051717C"/>
    <w:rsid w:val="005209F6"/>
    <w:rsid w:val="00521AD8"/>
    <w:rsid w:val="00521BF0"/>
    <w:rsid w:val="0052246C"/>
    <w:rsid w:val="00524191"/>
    <w:rsid w:val="005244E5"/>
    <w:rsid w:val="0052498B"/>
    <w:rsid w:val="0052587E"/>
    <w:rsid w:val="005260A7"/>
    <w:rsid w:val="0052678E"/>
    <w:rsid w:val="00527623"/>
    <w:rsid w:val="00527BDC"/>
    <w:rsid w:val="005303C9"/>
    <w:rsid w:val="00531657"/>
    <w:rsid w:val="00531BAF"/>
    <w:rsid w:val="00532435"/>
    <w:rsid w:val="00533331"/>
    <w:rsid w:val="00535277"/>
    <w:rsid w:val="0053538D"/>
    <w:rsid w:val="00535CCE"/>
    <w:rsid w:val="00535E70"/>
    <w:rsid w:val="005367BB"/>
    <w:rsid w:val="00536807"/>
    <w:rsid w:val="00536925"/>
    <w:rsid w:val="005374F2"/>
    <w:rsid w:val="005413D5"/>
    <w:rsid w:val="00541CB5"/>
    <w:rsid w:val="00542DA1"/>
    <w:rsid w:val="00543170"/>
    <w:rsid w:val="005442EF"/>
    <w:rsid w:val="00545CEB"/>
    <w:rsid w:val="005461B0"/>
    <w:rsid w:val="00546B12"/>
    <w:rsid w:val="00546EBD"/>
    <w:rsid w:val="00546ED0"/>
    <w:rsid w:val="00547652"/>
    <w:rsid w:val="00550118"/>
    <w:rsid w:val="0055141E"/>
    <w:rsid w:val="005519D3"/>
    <w:rsid w:val="00553C80"/>
    <w:rsid w:val="00553CFE"/>
    <w:rsid w:val="0055450F"/>
    <w:rsid w:val="00554A90"/>
    <w:rsid w:val="00556AB4"/>
    <w:rsid w:val="0055799E"/>
    <w:rsid w:val="00557C6E"/>
    <w:rsid w:val="00560C5A"/>
    <w:rsid w:val="00560F8D"/>
    <w:rsid w:val="00561270"/>
    <w:rsid w:val="0056140F"/>
    <w:rsid w:val="005615C7"/>
    <w:rsid w:val="00562381"/>
    <w:rsid w:val="00564CB5"/>
    <w:rsid w:val="00564CD0"/>
    <w:rsid w:val="00565345"/>
    <w:rsid w:val="0057064A"/>
    <w:rsid w:val="005714F0"/>
    <w:rsid w:val="005723EC"/>
    <w:rsid w:val="00572CC7"/>
    <w:rsid w:val="00573E79"/>
    <w:rsid w:val="0057447C"/>
    <w:rsid w:val="005745CE"/>
    <w:rsid w:val="0057508E"/>
    <w:rsid w:val="00575A11"/>
    <w:rsid w:val="005802D0"/>
    <w:rsid w:val="005806D9"/>
    <w:rsid w:val="005815F4"/>
    <w:rsid w:val="00582BB0"/>
    <w:rsid w:val="00585425"/>
    <w:rsid w:val="00585C5F"/>
    <w:rsid w:val="005864E3"/>
    <w:rsid w:val="00586F2D"/>
    <w:rsid w:val="00591153"/>
    <w:rsid w:val="0059148F"/>
    <w:rsid w:val="00591EE0"/>
    <w:rsid w:val="00593395"/>
    <w:rsid w:val="00593A10"/>
    <w:rsid w:val="00593DE7"/>
    <w:rsid w:val="00594208"/>
    <w:rsid w:val="00594E2C"/>
    <w:rsid w:val="00594E2E"/>
    <w:rsid w:val="00595B43"/>
    <w:rsid w:val="00595D62"/>
    <w:rsid w:val="00596221"/>
    <w:rsid w:val="0059694B"/>
    <w:rsid w:val="00597A21"/>
    <w:rsid w:val="005A0AE9"/>
    <w:rsid w:val="005A0E9B"/>
    <w:rsid w:val="005A1F64"/>
    <w:rsid w:val="005A20DE"/>
    <w:rsid w:val="005A22A2"/>
    <w:rsid w:val="005A2AE1"/>
    <w:rsid w:val="005A44DE"/>
    <w:rsid w:val="005A578E"/>
    <w:rsid w:val="005A61E6"/>
    <w:rsid w:val="005A761B"/>
    <w:rsid w:val="005A7835"/>
    <w:rsid w:val="005A7920"/>
    <w:rsid w:val="005A7A0E"/>
    <w:rsid w:val="005B13C2"/>
    <w:rsid w:val="005B3703"/>
    <w:rsid w:val="005B4BFD"/>
    <w:rsid w:val="005B5478"/>
    <w:rsid w:val="005B58C4"/>
    <w:rsid w:val="005B720F"/>
    <w:rsid w:val="005B7E4A"/>
    <w:rsid w:val="005C018D"/>
    <w:rsid w:val="005C0360"/>
    <w:rsid w:val="005C07AD"/>
    <w:rsid w:val="005C0F31"/>
    <w:rsid w:val="005C1152"/>
    <w:rsid w:val="005C15F3"/>
    <w:rsid w:val="005C2A34"/>
    <w:rsid w:val="005C377F"/>
    <w:rsid w:val="005C47F4"/>
    <w:rsid w:val="005C4DBC"/>
    <w:rsid w:val="005C52F8"/>
    <w:rsid w:val="005C53EA"/>
    <w:rsid w:val="005C5A49"/>
    <w:rsid w:val="005C637B"/>
    <w:rsid w:val="005C6832"/>
    <w:rsid w:val="005C6ACC"/>
    <w:rsid w:val="005C6B01"/>
    <w:rsid w:val="005D0685"/>
    <w:rsid w:val="005D0C57"/>
    <w:rsid w:val="005D0CCA"/>
    <w:rsid w:val="005D1515"/>
    <w:rsid w:val="005D2C0A"/>
    <w:rsid w:val="005D344F"/>
    <w:rsid w:val="005D3CC4"/>
    <w:rsid w:val="005D459E"/>
    <w:rsid w:val="005D519F"/>
    <w:rsid w:val="005D591F"/>
    <w:rsid w:val="005D60FB"/>
    <w:rsid w:val="005D7F60"/>
    <w:rsid w:val="005E01A9"/>
    <w:rsid w:val="005E0E43"/>
    <w:rsid w:val="005E12FE"/>
    <w:rsid w:val="005E18C4"/>
    <w:rsid w:val="005E32AD"/>
    <w:rsid w:val="005E3329"/>
    <w:rsid w:val="005E3D72"/>
    <w:rsid w:val="005E46C4"/>
    <w:rsid w:val="005E5249"/>
    <w:rsid w:val="005E60C7"/>
    <w:rsid w:val="005F0024"/>
    <w:rsid w:val="005F0064"/>
    <w:rsid w:val="005F07DE"/>
    <w:rsid w:val="005F083D"/>
    <w:rsid w:val="005F0FAD"/>
    <w:rsid w:val="005F191C"/>
    <w:rsid w:val="005F26A2"/>
    <w:rsid w:val="005F3253"/>
    <w:rsid w:val="005F3CDF"/>
    <w:rsid w:val="005F4D40"/>
    <w:rsid w:val="005F51C2"/>
    <w:rsid w:val="005F59B3"/>
    <w:rsid w:val="005F59E3"/>
    <w:rsid w:val="005F73B7"/>
    <w:rsid w:val="005F762F"/>
    <w:rsid w:val="00600124"/>
    <w:rsid w:val="00600CC2"/>
    <w:rsid w:val="00600FB7"/>
    <w:rsid w:val="006020E3"/>
    <w:rsid w:val="00604006"/>
    <w:rsid w:val="00604722"/>
    <w:rsid w:val="00604C79"/>
    <w:rsid w:val="00605324"/>
    <w:rsid w:val="0060689F"/>
    <w:rsid w:val="00607586"/>
    <w:rsid w:val="00607760"/>
    <w:rsid w:val="00607F6C"/>
    <w:rsid w:val="0061158C"/>
    <w:rsid w:val="00611B06"/>
    <w:rsid w:val="00611E1A"/>
    <w:rsid w:val="0061274B"/>
    <w:rsid w:val="00612882"/>
    <w:rsid w:val="00612E05"/>
    <w:rsid w:val="00612F0B"/>
    <w:rsid w:val="00615110"/>
    <w:rsid w:val="00615D7A"/>
    <w:rsid w:val="00617CD5"/>
    <w:rsid w:val="00620C3E"/>
    <w:rsid w:val="00620F2C"/>
    <w:rsid w:val="00621E3F"/>
    <w:rsid w:val="00623744"/>
    <w:rsid w:val="0062424B"/>
    <w:rsid w:val="006249E1"/>
    <w:rsid w:val="006259F6"/>
    <w:rsid w:val="006262F1"/>
    <w:rsid w:val="006304B1"/>
    <w:rsid w:val="00630BEF"/>
    <w:rsid w:val="00632054"/>
    <w:rsid w:val="00632372"/>
    <w:rsid w:val="00632C08"/>
    <w:rsid w:val="00633023"/>
    <w:rsid w:val="00633FEC"/>
    <w:rsid w:val="00635767"/>
    <w:rsid w:val="0063590C"/>
    <w:rsid w:val="0063618F"/>
    <w:rsid w:val="00636F5E"/>
    <w:rsid w:val="00636F79"/>
    <w:rsid w:val="00637564"/>
    <w:rsid w:val="00640B78"/>
    <w:rsid w:val="0064189B"/>
    <w:rsid w:val="00641C5C"/>
    <w:rsid w:val="00642A58"/>
    <w:rsid w:val="00642E44"/>
    <w:rsid w:val="0064310A"/>
    <w:rsid w:val="00643A61"/>
    <w:rsid w:val="00644CE3"/>
    <w:rsid w:val="0064502B"/>
    <w:rsid w:val="00646A95"/>
    <w:rsid w:val="006471C0"/>
    <w:rsid w:val="00647293"/>
    <w:rsid w:val="006506BB"/>
    <w:rsid w:val="00650CE7"/>
    <w:rsid w:val="00651861"/>
    <w:rsid w:val="00651C80"/>
    <w:rsid w:val="00652513"/>
    <w:rsid w:val="00653AF2"/>
    <w:rsid w:val="00656668"/>
    <w:rsid w:val="0065668E"/>
    <w:rsid w:val="00657AD8"/>
    <w:rsid w:val="00657B60"/>
    <w:rsid w:val="00660697"/>
    <w:rsid w:val="006617DF"/>
    <w:rsid w:val="0066255A"/>
    <w:rsid w:val="00662A22"/>
    <w:rsid w:val="00662E51"/>
    <w:rsid w:val="00663DF9"/>
    <w:rsid w:val="00664464"/>
    <w:rsid w:val="00665217"/>
    <w:rsid w:val="00665A36"/>
    <w:rsid w:val="00665FBF"/>
    <w:rsid w:val="006661C2"/>
    <w:rsid w:val="00666DD3"/>
    <w:rsid w:val="00667797"/>
    <w:rsid w:val="006701B6"/>
    <w:rsid w:val="00670762"/>
    <w:rsid w:val="0067262C"/>
    <w:rsid w:val="00672C0E"/>
    <w:rsid w:val="006744A6"/>
    <w:rsid w:val="006761EB"/>
    <w:rsid w:val="00677CB8"/>
    <w:rsid w:val="00677DD5"/>
    <w:rsid w:val="006807FF"/>
    <w:rsid w:val="00682995"/>
    <w:rsid w:val="00682A08"/>
    <w:rsid w:val="00682B23"/>
    <w:rsid w:val="0068326B"/>
    <w:rsid w:val="00683FDB"/>
    <w:rsid w:val="0068565F"/>
    <w:rsid w:val="00686D21"/>
    <w:rsid w:val="00690F06"/>
    <w:rsid w:val="006912EA"/>
    <w:rsid w:val="00691D58"/>
    <w:rsid w:val="006924D2"/>
    <w:rsid w:val="00693E23"/>
    <w:rsid w:val="006945C3"/>
    <w:rsid w:val="00695B18"/>
    <w:rsid w:val="00695D60"/>
    <w:rsid w:val="00696045"/>
    <w:rsid w:val="0069639B"/>
    <w:rsid w:val="00696BC4"/>
    <w:rsid w:val="00697104"/>
    <w:rsid w:val="006A0321"/>
    <w:rsid w:val="006A19B3"/>
    <w:rsid w:val="006A28D3"/>
    <w:rsid w:val="006A3593"/>
    <w:rsid w:val="006A41C2"/>
    <w:rsid w:val="006A4BCD"/>
    <w:rsid w:val="006A5094"/>
    <w:rsid w:val="006A58CF"/>
    <w:rsid w:val="006A5E31"/>
    <w:rsid w:val="006B1383"/>
    <w:rsid w:val="006B18C6"/>
    <w:rsid w:val="006B1F6A"/>
    <w:rsid w:val="006B2C29"/>
    <w:rsid w:val="006B2F09"/>
    <w:rsid w:val="006B38D4"/>
    <w:rsid w:val="006B3FDB"/>
    <w:rsid w:val="006B5369"/>
    <w:rsid w:val="006B5B04"/>
    <w:rsid w:val="006B65C1"/>
    <w:rsid w:val="006B66E6"/>
    <w:rsid w:val="006B6D75"/>
    <w:rsid w:val="006B6EC2"/>
    <w:rsid w:val="006B7050"/>
    <w:rsid w:val="006B7818"/>
    <w:rsid w:val="006C4B26"/>
    <w:rsid w:val="006C5463"/>
    <w:rsid w:val="006C58D5"/>
    <w:rsid w:val="006C62B4"/>
    <w:rsid w:val="006C68D6"/>
    <w:rsid w:val="006C72A0"/>
    <w:rsid w:val="006C74D6"/>
    <w:rsid w:val="006C77A9"/>
    <w:rsid w:val="006C7C7E"/>
    <w:rsid w:val="006D0BA5"/>
    <w:rsid w:val="006D1FCC"/>
    <w:rsid w:val="006D311A"/>
    <w:rsid w:val="006D3C20"/>
    <w:rsid w:val="006D3DA9"/>
    <w:rsid w:val="006D3F91"/>
    <w:rsid w:val="006D62D5"/>
    <w:rsid w:val="006D6429"/>
    <w:rsid w:val="006D6507"/>
    <w:rsid w:val="006D65E8"/>
    <w:rsid w:val="006D685D"/>
    <w:rsid w:val="006D708B"/>
    <w:rsid w:val="006E0111"/>
    <w:rsid w:val="006E07C8"/>
    <w:rsid w:val="006E160A"/>
    <w:rsid w:val="006E1EE4"/>
    <w:rsid w:val="006E2643"/>
    <w:rsid w:val="006E2711"/>
    <w:rsid w:val="006E36CC"/>
    <w:rsid w:val="006E3763"/>
    <w:rsid w:val="006E39C4"/>
    <w:rsid w:val="006E3DB5"/>
    <w:rsid w:val="006E522B"/>
    <w:rsid w:val="006E548B"/>
    <w:rsid w:val="006E5FC1"/>
    <w:rsid w:val="006E6AFF"/>
    <w:rsid w:val="006E7C6A"/>
    <w:rsid w:val="006F09FA"/>
    <w:rsid w:val="006F0F08"/>
    <w:rsid w:val="006F183A"/>
    <w:rsid w:val="006F36C0"/>
    <w:rsid w:val="006F3DD6"/>
    <w:rsid w:val="006F48AA"/>
    <w:rsid w:val="006F5106"/>
    <w:rsid w:val="006F597F"/>
    <w:rsid w:val="006F6200"/>
    <w:rsid w:val="006F6E1A"/>
    <w:rsid w:val="007004E1"/>
    <w:rsid w:val="007004E6"/>
    <w:rsid w:val="00701796"/>
    <w:rsid w:val="00702356"/>
    <w:rsid w:val="007045DF"/>
    <w:rsid w:val="007045ED"/>
    <w:rsid w:val="00704676"/>
    <w:rsid w:val="007051B0"/>
    <w:rsid w:val="00705405"/>
    <w:rsid w:val="00705E62"/>
    <w:rsid w:val="00706292"/>
    <w:rsid w:val="0071085B"/>
    <w:rsid w:val="00710E43"/>
    <w:rsid w:val="00710EF9"/>
    <w:rsid w:val="007121B8"/>
    <w:rsid w:val="007124E7"/>
    <w:rsid w:val="0071282B"/>
    <w:rsid w:val="00712B2A"/>
    <w:rsid w:val="00712D00"/>
    <w:rsid w:val="00713F47"/>
    <w:rsid w:val="00715918"/>
    <w:rsid w:val="00715F4D"/>
    <w:rsid w:val="00716003"/>
    <w:rsid w:val="00716072"/>
    <w:rsid w:val="0071685D"/>
    <w:rsid w:val="00716960"/>
    <w:rsid w:val="00716F8A"/>
    <w:rsid w:val="007173BF"/>
    <w:rsid w:val="00717986"/>
    <w:rsid w:val="007209CD"/>
    <w:rsid w:val="00721525"/>
    <w:rsid w:val="007217D9"/>
    <w:rsid w:val="0072248B"/>
    <w:rsid w:val="0072265E"/>
    <w:rsid w:val="007226B8"/>
    <w:rsid w:val="007236D3"/>
    <w:rsid w:val="0072387C"/>
    <w:rsid w:val="007254BC"/>
    <w:rsid w:val="007267E2"/>
    <w:rsid w:val="00727720"/>
    <w:rsid w:val="00727760"/>
    <w:rsid w:val="0073135A"/>
    <w:rsid w:val="00731759"/>
    <w:rsid w:val="007319A2"/>
    <w:rsid w:val="00731E74"/>
    <w:rsid w:val="007320CF"/>
    <w:rsid w:val="0073262B"/>
    <w:rsid w:val="00732E2A"/>
    <w:rsid w:val="007334FF"/>
    <w:rsid w:val="00733CA0"/>
    <w:rsid w:val="0073478B"/>
    <w:rsid w:val="007347A9"/>
    <w:rsid w:val="00734CE7"/>
    <w:rsid w:val="007371FD"/>
    <w:rsid w:val="007374C8"/>
    <w:rsid w:val="00741A3B"/>
    <w:rsid w:val="0074290D"/>
    <w:rsid w:val="007431D9"/>
    <w:rsid w:val="00747C07"/>
    <w:rsid w:val="00750C72"/>
    <w:rsid w:val="00752D85"/>
    <w:rsid w:val="00753A2E"/>
    <w:rsid w:val="00753C33"/>
    <w:rsid w:val="00754175"/>
    <w:rsid w:val="00754260"/>
    <w:rsid w:val="00754964"/>
    <w:rsid w:val="00756F17"/>
    <w:rsid w:val="00757076"/>
    <w:rsid w:val="0075716D"/>
    <w:rsid w:val="007575EF"/>
    <w:rsid w:val="00757F9B"/>
    <w:rsid w:val="00757FC1"/>
    <w:rsid w:val="00760C85"/>
    <w:rsid w:val="00761CC6"/>
    <w:rsid w:val="00763065"/>
    <w:rsid w:val="00764387"/>
    <w:rsid w:val="007657FE"/>
    <w:rsid w:val="00765CE8"/>
    <w:rsid w:val="00766129"/>
    <w:rsid w:val="00766348"/>
    <w:rsid w:val="00766B2A"/>
    <w:rsid w:val="00766F4E"/>
    <w:rsid w:val="00770CFA"/>
    <w:rsid w:val="00770E18"/>
    <w:rsid w:val="00773746"/>
    <w:rsid w:val="00774086"/>
    <w:rsid w:val="00775A74"/>
    <w:rsid w:val="00776C85"/>
    <w:rsid w:val="00777677"/>
    <w:rsid w:val="007777C4"/>
    <w:rsid w:val="00777D1E"/>
    <w:rsid w:val="00777E51"/>
    <w:rsid w:val="007812ED"/>
    <w:rsid w:val="007816EA"/>
    <w:rsid w:val="00781A06"/>
    <w:rsid w:val="0078383B"/>
    <w:rsid w:val="007858B4"/>
    <w:rsid w:val="007860AB"/>
    <w:rsid w:val="00791046"/>
    <w:rsid w:val="00791337"/>
    <w:rsid w:val="00791756"/>
    <w:rsid w:val="00791E70"/>
    <w:rsid w:val="00794458"/>
    <w:rsid w:val="00796B82"/>
    <w:rsid w:val="007A0364"/>
    <w:rsid w:val="007A05B8"/>
    <w:rsid w:val="007A15C2"/>
    <w:rsid w:val="007A18DE"/>
    <w:rsid w:val="007A1F3A"/>
    <w:rsid w:val="007A26AB"/>
    <w:rsid w:val="007A425C"/>
    <w:rsid w:val="007A52EE"/>
    <w:rsid w:val="007A6B88"/>
    <w:rsid w:val="007A7B66"/>
    <w:rsid w:val="007B019D"/>
    <w:rsid w:val="007B09E2"/>
    <w:rsid w:val="007B0BFC"/>
    <w:rsid w:val="007B1209"/>
    <w:rsid w:val="007B1D5C"/>
    <w:rsid w:val="007B1FBC"/>
    <w:rsid w:val="007B2314"/>
    <w:rsid w:val="007B50FD"/>
    <w:rsid w:val="007B66B6"/>
    <w:rsid w:val="007B6ED1"/>
    <w:rsid w:val="007B7054"/>
    <w:rsid w:val="007C03CB"/>
    <w:rsid w:val="007C0EAC"/>
    <w:rsid w:val="007C18F1"/>
    <w:rsid w:val="007C38D6"/>
    <w:rsid w:val="007C3941"/>
    <w:rsid w:val="007C3A19"/>
    <w:rsid w:val="007C3F2E"/>
    <w:rsid w:val="007C43B5"/>
    <w:rsid w:val="007C5693"/>
    <w:rsid w:val="007C67C8"/>
    <w:rsid w:val="007C7279"/>
    <w:rsid w:val="007C75D2"/>
    <w:rsid w:val="007C79C4"/>
    <w:rsid w:val="007D06AE"/>
    <w:rsid w:val="007D1C11"/>
    <w:rsid w:val="007D2012"/>
    <w:rsid w:val="007D204D"/>
    <w:rsid w:val="007D3D2A"/>
    <w:rsid w:val="007D4374"/>
    <w:rsid w:val="007D50F3"/>
    <w:rsid w:val="007D5A27"/>
    <w:rsid w:val="007D720C"/>
    <w:rsid w:val="007D7CB4"/>
    <w:rsid w:val="007D7D33"/>
    <w:rsid w:val="007E2705"/>
    <w:rsid w:val="007E314B"/>
    <w:rsid w:val="007E363F"/>
    <w:rsid w:val="007E3C90"/>
    <w:rsid w:val="007E5247"/>
    <w:rsid w:val="007E52DF"/>
    <w:rsid w:val="007E5EEB"/>
    <w:rsid w:val="007E621D"/>
    <w:rsid w:val="007E69E6"/>
    <w:rsid w:val="007E6C5F"/>
    <w:rsid w:val="007E714F"/>
    <w:rsid w:val="007E7735"/>
    <w:rsid w:val="007F084A"/>
    <w:rsid w:val="007F153B"/>
    <w:rsid w:val="007F2240"/>
    <w:rsid w:val="007F2510"/>
    <w:rsid w:val="007F2569"/>
    <w:rsid w:val="007F6836"/>
    <w:rsid w:val="007F6A2E"/>
    <w:rsid w:val="007F6D50"/>
    <w:rsid w:val="0080022B"/>
    <w:rsid w:val="0080032E"/>
    <w:rsid w:val="008031FC"/>
    <w:rsid w:val="00803922"/>
    <w:rsid w:val="008039D3"/>
    <w:rsid w:val="00804025"/>
    <w:rsid w:val="0080418A"/>
    <w:rsid w:val="008049DE"/>
    <w:rsid w:val="008051EF"/>
    <w:rsid w:val="008057C8"/>
    <w:rsid w:val="00805F60"/>
    <w:rsid w:val="00806466"/>
    <w:rsid w:val="008078FB"/>
    <w:rsid w:val="00807E68"/>
    <w:rsid w:val="00811C3B"/>
    <w:rsid w:val="00813DF1"/>
    <w:rsid w:val="008148DA"/>
    <w:rsid w:val="00814F2C"/>
    <w:rsid w:val="00815334"/>
    <w:rsid w:val="0081579D"/>
    <w:rsid w:val="00817659"/>
    <w:rsid w:val="008219C2"/>
    <w:rsid w:val="00822582"/>
    <w:rsid w:val="00823E13"/>
    <w:rsid w:val="00824B06"/>
    <w:rsid w:val="00825B74"/>
    <w:rsid w:val="00825F05"/>
    <w:rsid w:val="00826CB6"/>
    <w:rsid w:val="0082715D"/>
    <w:rsid w:val="0082769E"/>
    <w:rsid w:val="00831355"/>
    <w:rsid w:val="00831A92"/>
    <w:rsid w:val="00831C69"/>
    <w:rsid w:val="008321C0"/>
    <w:rsid w:val="008323E2"/>
    <w:rsid w:val="0083246C"/>
    <w:rsid w:val="008324F4"/>
    <w:rsid w:val="0083263F"/>
    <w:rsid w:val="0083286B"/>
    <w:rsid w:val="00832B12"/>
    <w:rsid w:val="0083451D"/>
    <w:rsid w:val="00834F74"/>
    <w:rsid w:val="008350DD"/>
    <w:rsid w:val="00835B4A"/>
    <w:rsid w:val="00835E56"/>
    <w:rsid w:val="008363CD"/>
    <w:rsid w:val="008365C8"/>
    <w:rsid w:val="00836D3B"/>
    <w:rsid w:val="0084041C"/>
    <w:rsid w:val="00840A43"/>
    <w:rsid w:val="008413F3"/>
    <w:rsid w:val="00842A1C"/>
    <w:rsid w:val="0084423A"/>
    <w:rsid w:val="00845075"/>
    <w:rsid w:val="008467C8"/>
    <w:rsid w:val="0084693D"/>
    <w:rsid w:val="00846ADB"/>
    <w:rsid w:val="00847877"/>
    <w:rsid w:val="00847893"/>
    <w:rsid w:val="00847A4B"/>
    <w:rsid w:val="00850471"/>
    <w:rsid w:val="00850C50"/>
    <w:rsid w:val="00851A76"/>
    <w:rsid w:val="00852005"/>
    <w:rsid w:val="008523F2"/>
    <w:rsid w:val="008528A0"/>
    <w:rsid w:val="008546CA"/>
    <w:rsid w:val="008557AA"/>
    <w:rsid w:val="00855AEC"/>
    <w:rsid w:val="008576C9"/>
    <w:rsid w:val="00857F3A"/>
    <w:rsid w:val="00862093"/>
    <w:rsid w:val="00862F10"/>
    <w:rsid w:val="0086367F"/>
    <w:rsid w:val="00864B66"/>
    <w:rsid w:val="00864D45"/>
    <w:rsid w:val="00865A28"/>
    <w:rsid w:val="008662EE"/>
    <w:rsid w:val="008662FC"/>
    <w:rsid w:val="0086719F"/>
    <w:rsid w:val="00867C57"/>
    <w:rsid w:val="00870BC6"/>
    <w:rsid w:val="008716FC"/>
    <w:rsid w:val="00871BBA"/>
    <w:rsid w:val="0087386B"/>
    <w:rsid w:val="008740DE"/>
    <w:rsid w:val="008746D7"/>
    <w:rsid w:val="008754C7"/>
    <w:rsid w:val="0087576B"/>
    <w:rsid w:val="00875991"/>
    <w:rsid w:val="00875E02"/>
    <w:rsid w:val="0087622F"/>
    <w:rsid w:val="00877C58"/>
    <w:rsid w:val="00881190"/>
    <w:rsid w:val="00881412"/>
    <w:rsid w:val="008822B5"/>
    <w:rsid w:val="00882822"/>
    <w:rsid w:val="00882A2D"/>
    <w:rsid w:val="00882B08"/>
    <w:rsid w:val="00882EA9"/>
    <w:rsid w:val="00883348"/>
    <w:rsid w:val="00883CB0"/>
    <w:rsid w:val="00883D25"/>
    <w:rsid w:val="00884545"/>
    <w:rsid w:val="008846AF"/>
    <w:rsid w:val="008846E1"/>
    <w:rsid w:val="00887CDD"/>
    <w:rsid w:val="00887DBD"/>
    <w:rsid w:val="00891427"/>
    <w:rsid w:val="008917FB"/>
    <w:rsid w:val="00892F9F"/>
    <w:rsid w:val="00893B8D"/>
    <w:rsid w:val="008941C7"/>
    <w:rsid w:val="008944E6"/>
    <w:rsid w:val="00894546"/>
    <w:rsid w:val="00896457"/>
    <w:rsid w:val="00896767"/>
    <w:rsid w:val="00896C50"/>
    <w:rsid w:val="00897835"/>
    <w:rsid w:val="008A2DBF"/>
    <w:rsid w:val="008A312E"/>
    <w:rsid w:val="008A35B2"/>
    <w:rsid w:val="008A4C9F"/>
    <w:rsid w:val="008A6D7A"/>
    <w:rsid w:val="008A7FFC"/>
    <w:rsid w:val="008B0121"/>
    <w:rsid w:val="008B062F"/>
    <w:rsid w:val="008B226C"/>
    <w:rsid w:val="008B239C"/>
    <w:rsid w:val="008B2414"/>
    <w:rsid w:val="008B3CD5"/>
    <w:rsid w:val="008B45B4"/>
    <w:rsid w:val="008B4A22"/>
    <w:rsid w:val="008B509D"/>
    <w:rsid w:val="008B6435"/>
    <w:rsid w:val="008B68AA"/>
    <w:rsid w:val="008B6A51"/>
    <w:rsid w:val="008B7C9B"/>
    <w:rsid w:val="008C037D"/>
    <w:rsid w:val="008C050F"/>
    <w:rsid w:val="008C0B09"/>
    <w:rsid w:val="008C11A6"/>
    <w:rsid w:val="008C1C25"/>
    <w:rsid w:val="008C1DBB"/>
    <w:rsid w:val="008C1DE6"/>
    <w:rsid w:val="008C3B91"/>
    <w:rsid w:val="008C3FC9"/>
    <w:rsid w:val="008C4146"/>
    <w:rsid w:val="008C41AF"/>
    <w:rsid w:val="008C42D2"/>
    <w:rsid w:val="008C4752"/>
    <w:rsid w:val="008C4B7C"/>
    <w:rsid w:val="008C5C8B"/>
    <w:rsid w:val="008C6BBE"/>
    <w:rsid w:val="008C7131"/>
    <w:rsid w:val="008C7FB7"/>
    <w:rsid w:val="008D1385"/>
    <w:rsid w:val="008D3147"/>
    <w:rsid w:val="008D3A72"/>
    <w:rsid w:val="008D3DA6"/>
    <w:rsid w:val="008D4572"/>
    <w:rsid w:val="008D4D45"/>
    <w:rsid w:val="008D51BC"/>
    <w:rsid w:val="008D6DD6"/>
    <w:rsid w:val="008E16E4"/>
    <w:rsid w:val="008E19F0"/>
    <w:rsid w:val="008E2435"/>
    <w:rsid w:val="008E3AFB"/>
    <w:rsid w:val="008E6003"/>
    <w:rsid w:val="008E6593"/>
    <w:rsid w:val="008E757B"/>
    <w:rsid w:val="008F0779"/>
    <w:rsid w:val="008F1894"/>
    <w:rsid w:val="008F1DCA"/>
    <w:rsid w:val="008F23B7"/>
    <w:rsid w:val="008F3034"/>
    <w:rsid w:val="008F42DF"/>
    <w:rsid w:val="008F44CF"/>
    <w:rsid w:val="008F70B4"/>
    <w:rsid w:val="008F7B4F"/>
    <w:rsid w:val="00900D6A"/>
    <w:rsid w:val="00901CFF"/>
    <w:rsid w:val="0090258E"/>
    <w:rsid w:val="00902E60"/>
    <w:rsid w:val="00902FF9"/>
    <w:rsid w:val="0090491A"/>
    <w:rsid w:val="00904E7F"/>
    <w:rsid w:val="009058B3"/>
    <w:rsid w:val="00905E17"/>
    <w:rsid w:val="00905E4B"/>
    <w:rsid w:val="00905EE0"/>
    <w:rsid w:val="009060E5"/>
    <w:rsid w:val="009071C5"/>
    <w:rsid w:val="00907FC3"/>
    <w:rsid w:val="009102D7"/>
    <w:rsid w:val="009106A0"/>
    <w:rsid w:val="009107CA"/>
    <w:rsid w:val="00910D11"/>
    <w:rsid w:val="0091135B"/>
    <w:rsid w:val="009131E5"/>
    <w:rsid w:val="00913DC3"/>
    <w:rsid w:val="00915131"/>
    <w:rsid w:val="00915907"/>
    <w:rsid w:val="0091769F"/>
    <w:rsid w:val="00917815"/>
    <w:rsid w:val="00917A08"/>
    <w:rsid w:val="00920F99"/>
    <w:rsid w:val="00922714"/>
    <w:rsid w:val="00923711"/>
    <w:rsid w:val="009255DF"/>
    <w:rsid w:val="00927785"/>
    <w:rsid w:val="009278D5"/>
    <w:rsid w:val="009303E5"/>
    <w:rsid w:val="0093051F"/>
    <w:rsid w:val="00930B89"/>
    <w:rsid w:val="00931224"/>
    <w:rsid w:val="009313B9"/>
    <w:rsid w:val="009325F9"/>
    <w:rsid w:val="00932B0B"/>
    <w:rsid w:val="00933BBD"/>
    <w:rsid w:val="009346D2"/>
    <w:rsid w:val="009347B7"/>
    <w:rsid w:val="00936049"/>
    <w:rsid w:val="00937B65"/>
    <w:rsid w:val="00937FA8"/>
    <w:rsid w:val="00940ACF"/>
    <w:rsid w:val="00941A0C"/>
    <w:rsid w:val="009433A8"/>
    <w:rsid w:val="00943644"/>
    <w:rsid w:val="00943D16"/>
    <w:rsid w:val="00944394"/>
    <w:rsid w:val="00944B66"/>
    <w:rsid w:val="00945E18"/>
    <w:rsid w:val="0094634A"/>
    <w:rsid w:val="00946F9F"/>
    <w:rsid w:val="009475E7"/>
    <w:rsid w:val="00951D1E"/>
    <w:rsid w:val="0095398E"/>
    <w:rsid w:val="00953D07"/>
    <w:rsid w:val="0095408E"/>
    <w:rsid w:val="00954A0F"/>
    <w:rsid w:val="00956DD0"/>
    <w:rsid w:val="009572C1"/>
    <w:rsid w:val="00960134"/>
    <w:rsid w:val="0096102C"/>
    <w:rsid w:val="009610BD"/>
    <w:rsid w:val="00961626"/>
    <w:rsid w:val="00962DAF"/>
    <w:rsid w:val="00963C5E"/>
    <w:rsid w:val="009641EE"/>
    <w:rsid w:val="00964A20"/>
    <w:rsid w:val="0096702B"/>
    <w:rsid w:val="00967E2F"/>
    <w:rsid w:val="00970485"/>
    <w:rsid w:val="009718A0"/>
    <w:rsid w:val="00973F9D"/>
    <w:rsid w:val="00973FE6"/>
    <w:rsid w:val="00974871"/>
    <w:rsid w:val="009752C7"/>
    <w:rsid w:val="00975501"/>
    <w:rsid w:val="00975CF6"/>
    <w:rsid w:val="00976283"/>
    <w:rsid w:val="0097732A"/>
    <w:rsid w:val="00977691"/>
    <w:rsid w:val="00977A11"/>
    <w:rsid w:val="00980433"/>
    <w:rsid w:val="00980818"/>
    <w:rsid w:val="0098087C"/>
    <w:rsid w:val="00981ECF"/>
    <w:rsid w:val="009822DB"/>
    <w:rsid w:val="00982FDC"/>
    <w:rsid w:val="009848A7"/>
    <w:rsid w:val="0098664C"/>
    <w:rsid w:val="00986E85"/>
    <w:rsid w:val="00987616"/>
    <w:rsid w:val="00987C97"/>
    <w:rsid w:val="00987F32"/>
    <w:rsid w:val="00987F74"/>
    <w:rsid w:val="00990499"/>
    <w:rsid w:val="00990782"/>
    <w:rsid w:val="00990BE3"/>
    <w:rsid w:val="009913E6"/>
    <w:rsid w:val="00991961"/>
    <w:rsid w:val="00991DF1"/>
    <w:rsid w:val="00991E04"/>
    <w:rsid w:val="00991F69"/>
    <w:rsid w:val="00991F74"/>
    <w:rsid w:val="00992C3D"/>
    <w:rsid w:val="00993CC4"/>
    <w:rsid w:val="00995461"/>
    <w:rsid w:val="00995970"/>
    <w:rsid w:val="00995FC9"/>
    <w:rsid w:val="00996C0C"/>
    <w:rsid w:val="009974E8"/>
    <w:rsid w:val="009A100B"/>
    <w:rsid w:val="009A1197"/>
    <w:rsid w:val="009A1AEF"/>
    <w:rsid w:val="009A2993"/>
    <w:rsid w:val="009A481A"/>
    <w:rsid w:val="009A4957"/>
    <w:rsid w:val="009A4C5B"/>
    <w:rsid w:val="009A621B"/>
    <w:rsid w:val="009A6E0F"/>
    <w:rsid w:val="009A6E32"/>
    <w:rsid w:val="009A72BF"/>
    <w:rsid w:val="009B0178"/>
    <w:rsid w:val="009B0728"/>
    <w:rsid w:val="009B09CE"/>
    <w:rsid w:val="009B2B18"/>
    <w:rsid w:val="009B313C"/>
    <w:rsid w:val="009B31C6"/>
    <w:rsid w:val="009B36AD"/>
    <w:rsid w:val="009B3A04"/>
    <w:rsid w:val="009B3D0B"/>
    <w:rsid w:val="009B42BD"/>
    <w:rsid w:val="009B4B7D"/>
    <w:rsid w:val="009B51A1"/>
    <w:rsid w:val="009B6BB4"/>
    <w:rsid w:val="009C11A2"/>
    <w:rsid w:val="009C1597"/>
    <w:rsid w:val="009C1913"/>
    <w:rsid w:val="009C3490"/>
    <w:rsid w:val="009C387C"/>
    <w:rsid w:val="009C3B08"/>
    <w:rsid w:val="009C6F89"/>
    <w:rsid w:val="009C7AFA"/>
    <w:rsid w:val="009D051B"/>
    <w:rsid w:val="009D070E"/>
    <w:rsid w:val="009D18A7"/>
    <w:rsid w:val="009D1AF2"/>
    <w:rsid w:val="009D1CD5"/>
    <w:rsid w:val="009D287D"/>
    <w:rsid w:val="009D2932"/>
    <w:rsid w:val="009D3421"/>
    <w:rsid w:val="009D62BC"/>
    <w:rsid w:val="009D6C06"/>
    <w:rsid w:val="009D775D"/>
    <w:rsid w:val="009E1841"/>
    <w:rsid w:val="009E1CE3"/>
    <w:rsid w:val="009E2541"/>
    <w:rsid w:val="009E392F"/>
    <w:rsid w:val="009E44D3"/>
    <w:rsid w:val="009E44F0"/>
    <w:rsid w:val="009E4845"/>
    <w:rsid w:val="009E5AB8"/>
    <w:rsid w:val="009E5FCD"/>
    <w:rsid w:val="009E6CD7"/>
    <w:rsid w:val="009E7C39"/>
    <w:rsid w:val="009F1FDF"/>
    <w:rsid w:val="009F2757"/>
    <w:rsid w:val="009F5449"/>
    <w:rsid w:val="009F56B2"/>
    <w:rsid w:val="009F5A11"/>
    <w:rsid w:val="009F6881"/>
    <w:rsid w:val="009F70D7"/>
    <w:rsid w:val="009F7483"/>
    <w:rsid w:val="009F7608"/>
    <w:rsid w:val="009F77CB"/>
    <w:rsid w:val="00A00334"/>
    <w:rsid w:val="00A0056E"/>
    <w:rsid w:val="00A00597"/>
    <w:rsid w:val="00A006B3"/>
    <w:rsid w:val="00A021F0"/>
    <w:rsid w:val="00A05596"/>
    <w:rsid w:val="00A05855"/>
    <w:rsid w:val="00A07532"/>
    <w:rsid w:val="00A11672"/>
    <w:rsid w:val="00A1234F"/>
    <w:rsid w:val="00A123D3"/>
    <w:rsid w:val="00A1245D"/>
    <w:rsid w:val="00A1310A"/>
    <w:rsid w:val="00A13281"/>
    <w:rsid w:val="00A13850"/>
    <w:rsid w:val="00A149ED"/>
    <w:rsid w:val="00A15200"/>
    <w:rsid w:val="00A15676"/>
    <w:rsid w:val="00A16113"/>
    <w:rsid w:val="00A1639E"/>
    <w:rsid w:val="00A169DA"/>
    <w:rsid w:val="00A16B7D"/>
    <w:rsid w:val="00A1720B"/>
    <w:rsid w:val="00A17E61"/>
    <w:rsid w:val="00A17FD2"/>
    <w:rsid w:val="00A20BE5"/>
    <w:rsid w:val="00A21489"/>
    <w:rsid w:val="00A23AF4"/>
    <w:rsid w:val="00A24C63"/>
    <w:rsid w:val="00A25EC2"/>
    <w:rsid w:val="00A25F83"/>
    <w:rsid w:val="00A270DD"/>
    <w:rsid w:val="00A274DC"/>
    <w:rsid w:val="00A27B4E"/>
    <w:rsid w:val="00A30FDC"/>
    <w:rsid w:val="00A3195C"/>
    <w:rsid w:val="00A31FF1"/>
    <w:rsid w:val="00A32333"/>
    <w:rsid w:val="00A32557"/>
    <w:rsid w:val="00A336EA"/>
    <w:rsid w:val="00A3375C"/>
    <w:rsid w:val="00A34014"/>
    <w:rsid w:val="00A3472B"/>
    <w:rsid w:val="00A34F66"/>
    <w:rsid w:val="00A360A8"/>
    <w:rsid w:val="00A3690A"/>
    <w:rsid w:val="00A36E4C"/>
    <w:rsid w:val="00A3716C"/>
    <w:rsid w:val="00A373EC"/>
    <w:rsid w:val="00A40781"/>
    <w:rsid w:val="00A40813"/>
    <w:rsid w:val="00A40C9B"/>
    <w:rsid w:val="00A40EB9"/>
    <w:rsid w:val="00A41731"/>
    <w:rsid w:val="00A43807"/>
    <w:rsid w:val="00A43C20"/>
    <w:rsid w:val="00A443EF"/>
    <w:rsid w:val="00A44B67"/>
    <w:rsid w:val="00A4701B"/>
    <w:rsid w:val="00A47168"/>
    <w:rsid w:val="00A5384D"/>
    <w:rsid w:val="00A561C7"/>
    <w:rsid w:val="00A56A26"/>
    <w:rsid w:val="00A578B6"/>
    <w:rsid w:val="00A600CF"/>
    <w:rsid w:val="00A62A5B"/>
    <w:rsid w:val="00A652B3"/>
    <w:rsid w:val="00A6547C"/>
    <w:rsid w:val="00A65B2C"/>
    <w:rsid w:val="00A66A67"/>
    <w:rsid w:val="00A67122"/>
    <w:rsid w:val="00A6748A"/>
    <w:rsid w:val="00A6755B"/>
    <w:rsid w:val="00A70318"/>
    <w:rsid w:val="00A714DF"/>
    <w:rsid w:val="00A714FE"/>
    <w:rsid w:val="00A72F3A"/>
    <w:rsid w:val="00A7479F"/>
    <w:rsid w:val="00A757F8"/>
    <w:rsid w:val="00A75D69"/>
    <w:rsid w:val="00A76474"/>
    <w:rsid w:val="00A776BA"/>
    <w:rsid w:val="00A77871"/>
    <w:rsid w:val="00A81EF3"/>
    <w:rsid w:val="00A8315D"/>
    <w:rsid w:val="00A837F1"/>
    <w:rsid w:val="00A83E63"/>
    <w:rsid w:val="00A8553C"/>
    <w:rsid w:val="00A864B0"/>
    <w:rsid w:val="00A86BA3"/>
    <w:rsid w:val="00A8717E"/>
    <w:rsid w:val="00A908FC"/>
    <w:rsid w:val="00A917CD"/>
    <w:rsid w:val="00A93D3E"/>
    <w:rsid w:val="00A94C74"/>
    <w:rsid w:val="00A95A4D"/>
    <w:rsid w:val="00A97AF4"/>
    <w:rsid w:val="00AA0337"/>
    <w:rsid w:val="00AA04AD"/>
    <w:rsid w:val="00AA0904"/>
    <w:rsid w:val="00AA14E9"/>
    <w:rsid w:val="00AA20CE"/>
    <w:rsid w:val="00AA4729"/>
    <w:rsid w:val="00AA50FB"/>
    <w:rsid w:val="00AA5228"/>
    <w:rsid w:val="00AA5453"/>
    <w:rsid w:val="00AA5AE3"/>
    <w:rsid w:val="00AA693F"/>
    <w:rsid w:val="00AA696F"/>
    <w:rsid w:val="00AA6D6E"/>
    <w:rsid w:val="00AA6ED5"/>
    <w:rsid w:val="00AA6F25"/>
    <w:rsid w:val="00AA726E"/>
    <w:rsid w:val="00AB0631"/>
    <w:rsid w:val="00AB0634"/>
    <w:rsid w:val="00AB0A0B"/>
    <w:rsid w:val="00AB0A7F"/>
    <w:rsid w:val="00AB16FD"/>
    <w:rsid w:val="00AB1808"/>
    <w:rsid w:val="00AB229C"/>
    <w:rsid w:val="00AB2ABC"/>
    <w:rsid w:val="00AB3E25"/>
    <w:rsid w:val="00AB49BA"/>
    <w:rsid w:val="00AB53C0"/>
    <w:rsid w:val="00AB60BC"/>
    <w:rsid w:val="00AC0C27"/>
    <w:rsid w:val="00AC0F87"/>
    <w:rsid w:val="00AC1049"/>
    <w:rsid w:val="00AC17FF"/>
    <w:rsid w:val="00AC1853"/>
    <w:rsid w:val="00AC207B"/>
    <w:rsid w:val="00AC2350"/>
    <w:rsid w:val="00AC3395"/>
    <w:rsid w:val="00AC36D7"/>
    <w:rsid w:val="00AC410E"/>
    <w:rsid w:val="00AC49F2"/>
    <w:rsid w:val="00AC56F7"/>
    <w:rsid w:val="00AC5A31"/>
    <w:rsid w:val="00AC5F42"/>
    <w:rsid w:val="00AC63F7"/>
    <w:rsid w:val="00AC68EE"/>
    <w:rsid w:val="00AC6B61"/>
    <w:rsid w:val="00AC7F42"/>
    <w:rsid w:val="00AD019F"/>
    <w:rsid w:val="00AD0857"/>
    <w:rsid w:val="00AD1013"/>
    <w:rsid w:val="00AD125C"/>
    <w:rsid w:val="00AD1AE2"/>
    <w:rsid w:val="00AD1E75"/>
    <w:rsid w:val="00AD20D8"/>
    <w:rsid w:val="00AD3F80"/>
    <w:rsid w:val="00AD42B6"/>
    <w:rsid w:val="00AD528F"/>
    <w:rsid w:val="00AD53C5"/>
    <w:rsid w:val="00AD691C"/>
    <w:rsid w:val="00AD7CC0"/>
    <w:rsid w:val="00AD7F64"/>
    <w:rsid w:val="00AE03A6"/>
    <w:rsid w:val="00AE0457"/>
    <w:rsid w:val="00AE0999"/>
    <w:rsid w:val="00AE0AAF"/>
    <w:rsid w:val="00AE1032"/>
    <w:rsid w:val="00AE2354"/>
    <w:rsid w:val="00AE2442"/>
    <w:rsid w:val="00AE250B"/>
    <w:rsid w:val="00AE29FD"/>
    <w:rsid w:val="00AE2B8A"/>
    <w:rsid w:val="00AE3486"/>
    <w:rsid w:val="00AE36DA"/>
    <w:rsid w:val="00AE43A8"/>
    <w:rsid w:val="00AE57D0"/>
    <w:rsid w:val="00AE65E2"/>
    <w:rsid w:val="00AE6812"/>
    <w:rsid w:val="00AF03D4"/>
    <w:rsid w:val="00AF0B44"/>
    <w:rsid w:val="00AF0D78"/>
    <w:rsid w:val="00AF1243"/>
    <w:rsid w:val="00AF224E"/>
    <w:rsid w:val="00AF23E2"/>
    <w:rsid w:val="00AF3ADA"/>
    <w:rsid w:val="00AF3F43"/>
    <w:rsid w:val="00AF427F"/>
    <w:rsid w:val="00AF6AFB"/>
    <w:rsid w:val="00AF78E0"/>
    <w:rsid w:val="00AF7B57"/>
    <w:rsid w:val="00AF7C0C"/>
    <w:rsid w:val="00B0002C"/>
    <w:rsid w:val="00B010BA"/>
    <w:rsid w:val="00B01A75"/>
    <w:rsid w:val="00B01F4D"/>
    <w:rsid w:val="00B02618"/>
    <w:rsid w:val="00B037E4"/>
    <w:rsid w:val="00B03D2B"/>
    <w:rsid w:val="00B03ED6"/>
    <w:rsid w:val="00B04C91"/>
    <w:rsid w:val="00B06491"/>
    <w:rsid w:val="00B0649B"/>
    <w:rsid w:val="00B06866"/>
    <w:rsid w:val="00B06913"/>
    <w:rsid w:val="00B06B5A"/>
    <w:rsid w:val="00B06B84"/>
    <w:rsid w:val="00B07DCD"/>
    <w:rsid w:val="00B10322"/>
    <w:rsid w:val="00B10362"/>
    <w:rsid w:val="00B1089C"/>
    <w:rsid w:val="00B10955"/>
    <w:rsid w:val="00B11D05"/>
    <w:rsid w:val="00B12B2A"/>
    <w:rsid w:val="00B12F9D"/>
    <w:rsid w:val="00B13369"/>
    <w:rsid w:val="00B146A4"/>
    <w:rsid w:val="00B1496F"/>
    <w:rsid w:val="00B17325"/>
    <w:rsid w:val="00B20516"/>
    <w:rsid w:val="00B221D9"/>
    <w:rsid w:val="00B226C4"/>
    <w:rsid w:val="00B242FC"/>
    <w:rsid w:val="00B24990"/>
    <w:rsid w:val="00B262A2"/>
    <w:rsid w:val="00B26513"/>
    <w:rsid w:val="00B26AC6"/>
    <w:rsid w:val="00B27D44"/>
    <w:rsid w:val="00B27D5E"/>
    <w:rsid w:val="00B30190"/>
    <w:rsid w:val="00B30E4C"/>
    <w:rsid w:val="00B31B68"/>
    <w:rsid w:val="00B33588"/>
    <w:rsid w:val="00B337D6"/>
    <w:rsid w:val="00B33BF3"/>
    <w:rsid w:val="00B34C88"/>
    <w:rsid w:val="00B35BBB"/>
    <w:rsid w:val="00B35C8C"/>
    <w:rsid w:val="00B362C6"/>
    <w:rsid w:val="00B37CC4"/>
    <w:rsid w:val="00B413BD"/>
    <w:rsid w:val="00B41432"/>
    <w:rsid w:val="00B4190F"/>
    <w:rsid w:val="00B427A7"/>
    <w:rsid w:val="00B43731"/>
    <w:rsid w:val="00B437C2"/>
    <w:rsid w:val="00B43ADF"/>
    <w:rsid w:val="00B44D01"/>
    <w:rsid w:val="00B45371"/>
    <w:rsid w:val="00B459C1"/>
    <w:rsid w:val="00B47A0F"/>
    <w:rsid w:val="00B47AC3"/>
    <w:rsid w:val="00B50A0C"/>
    <w:rsid w:val="00B50B95"/>
    <w:rsid w:val="00B5125C"/>
    <w:rsid w:val="00B52C4A"/>
    <w:rsid w:val="00B556B0"/>
    <w:rsid w:val="00B55B00"/>
    <w:rsid w:val="00B55FC0"/>
    <w:rsid w:val="00B56817"/>
    <w:rsid w:val="00B568C8"/>
    <w:rsid w:val="00B5747E"/>
    <w:rsid w:val="00B61035"/>
    <w:rsid w:val="00B61BB6"/>
    <w:rsid w:val="00B61F3C"/>
    <w:rsid w:val="00B64415"/>
    <w:rsid w:val="00B64443"/>
    <w:rsid w:val="00B64528"/>
    <w:rsid w:val="00B67904"/>
    <w:rsid w:val="00B67DE4"/>
    <w:rsid w:val="00B70589"/>
    <w:rsid w:val="00B70853"/>
    <w:rsid w:val="00B70A55"/>
    <w:rsid w:val="00B7209D"/>
    <w:rsid w:val="00B725C7"/>
    <w:rsid w:val="00B72CD0"/>
    <w:rsid w:val="00B73B45"/>
    <w:rsid w:val="00B73DDB"/>
    <w:rsid w:val="00B75AB3"/>
    <w:rsid w:val="00B7713E"/>
    <w:rsid w:val="00B7752F"/>
    <w:rsid w:val="00B77B68"/>
    <w:rsid w:val="00B80278"/>
    <w:rsid w:val="00B80B06"/>
    <w:rsid w:val="00B8166B"/>
    <w:rsid w:val="00B81699"/>
    <w:rsid w:val="00B81736"/>
    <w:rsid w:val="00B8205D"/>
    <w:rsid w:val="00B8206A"/>
    <w:rsid w:val="00B8653A"/>
    <w:rsid w:val="00B867E3"/>
    <w:rsid w:val="00B8720B"/>
    <w:rsid w:val="00B90DBF"/>
    <w:rsid w:val="00B90DC1"/>
    <w:rsid w:val="00B92203"/>
    <w:rsid w:val="00B935DE"/>
    <w:rsid w:val="00B9392D"/>
    <w:rsid w:val="00B93BEA"/>
    <w:rsid w:val="00B94458"/>
    <w:rsid w:val="00B95657"/>
    <w:rsid w:val="00B95988"/>
    <w:rsid w:val="00B96DE1"/>
    <w:rsid w:val="00B9784A"/>
    <w:rsid w:val="00BA0366"/>
    <w:rsid w:val="00BA09B5"/>
    <w:rsid w:val="00BA1E64"/>
    <w:rsid w:val="00BA2065"/>
    <w:rsid w:val="00BA298F"/>
    <w:rsid w:val="00BA38C9"/>
    <w:rsid w:val="00BA5F53"/>
    <w:rsid w:val="00BA6B31"/>
    <w:rsid w:val="00BA71DE"/>
    <w:rsid w:val="00BB006C"/>
    <w:rsid w:val="00BB065D"/>
    <w:rsid w:val="00BB125E"/>
    <w:rsid w:val="00BB12AF"/>
    <w:rsid w:val="00BB2468"/>
    <w:rsid w:val="00BB2613"/>
    <w:rsid w:val="00BB2773"/>
    <w:rsid w:val="00BB27AE"/>
    <w:rsid w:val="00BB2E86"/>
    <w:rsid w:val="00BB49CC"/>
    <w:rsid w:val="00BB4E00"/>
    <w:rsid w:val="00BB4E02"/>
    <w:rsid w:val="00BB5187"/>
    <w:rsid w:val="00BB6A9B"/>
    <w:rsid w:val="00BB72F5"/>
    <w:rsid w:val="00BB74A8"/>
    <w:rsid w:val="00BB7906"/>
    <w:rsid w:val="00BB7FA9"/>
    <w:rsid w:val="00BC06C7"/>
    <w:rsid w:val="00BC0893"/>
    <w:rsid w:val="00BC17B9"/>
    <w:rsid w:val="00BC18B6"/>
    <w:rsid w:val="00BC41A9"/>
    <w:rsid w:val="00BC47C6"/>
    <w:rsid w:val="00BC4988"/>
    <w:rsid w:val="00BC69F3"/>
    <w:rsid w:val="00BD066F"/>
    <w:rsid w:val="00BD4694"/>
    <w:rsid w:val="00BD4A79"/>
    <w:rsid w:val="00BD4CD4"/>
    <w:rsid w:val="00BD663F"/>
    <w:rsid w:val="00BD7790"/>
    <w:rsid w:val="00BD7B0C"/>
    <w:rsid w:val="00BD7EB5"/>
    <w:rsid w:val="00BE0520"/>
    <w:rsid w:val="00BE0E67"/>
    <w:rsid w:val="00BE0FA5"/>
    <w:rsid w:val="00BE1F1A"/>
    <w:rsid w:val="00BE2854"/>
    <w:rsid w:val="00BE2A4A"/>
    <w:rsid w:val="00BE379D"/>
    <w:rsid w:val="00BE3809"/>
    <w:rsid w:val="00BE3FA4"/>
    <w:rsid w:val="00BE438F"/>
    <w:rsid w:val="00BE4E15"/>
    <w:rsid w:val="00BE644A"/>
    <w:rsid w:val="00BE7C9E"/>
    <w:rsid w:val="00BE7D97"/>
    <w:rsid w:val="00BE7F83"/>
    <w:rsid w:val="00BF12B7"/>
    <w:rsid w:val="00BF130B"/>
    <w:rsid w:val="00BF1452"/>
    <w:rsid w:val="00BF2BA8"/>
    <w:rsid w:val="00BF2EB3"/>
    <w:rsid w:val="00BF597B"/>
    <w:rsid w:val="00BF5A75"/>
    <w:rsid w:val="00BF7934"/>
    <w:rsid w:val="00BF793B"/>
    <w:rsid w:val="00C0004B"/>
    <w:rsid w:val="00C0025B"/>
    <w:rsid w:val="00C0128D"/>
    <w:rsid w:val="00C01A84"/>
    <w:rsid w:val="00C01AE6"/>
    <w:rsid w:val="00C01C04"/>
    <w:rsid w:val="00C01E37"/>
    <w:rsid w:val="00C02030"/>
    <w:rsid w:val="00C0239D"/>
    <w:rsid w:val="00C02540"/>
    <w:rsid w:val="00C0273A"/>
    <w:rsid w:val="00C02E6A"/>
    <w:rsid w:val="00C02F4E"/>
    <w:rsid w:val="00C040FB"/>
    <w:rsid w:val="00C043A6"/>
    <w:rsid w:val="00C05873"/>
    <w:rsid w:val="00C05CEE"/>
    <w:rsid w:val="00C06245"/>
    <w:rsid w:val="00C0672A"/>
    <w:rsid w:val="00C06DA1"/>
    <w:rsid w:val="00C06DAD"/>
    <w:rsid w:val="00C10164"/>
    <w:rsid w:val="00C103A8"/>
    <w:rsid w:val="00C1087D"/>
    <w:rsid w:val="00C10935"/>
    <w:rsid w:val="00C1242A"/>
    <w:rsid w:val="00C126F4"/>
    <w:rsid w:val="00C12C62"/>
    <w:rsid w:val="00C131BA"/>
    <w:rsid w:val="00C137CB"/>
    <w:rsid w:val="00C15186"/>
    <w:rsid w:val="00C15913"/>
    <w:rsid w:val="00C16DCE"/>
    <w:rsid w:val="00C17335"/>
    <w:rsid w:val="00C20908"/>
    <w:rsid w:val="00C20E3F"/>
    <w:rsid w:val="00C2115D"/>
    <w:rsid w:val="00C2263C"/>
    <w:rsid w:val="00C2301B"/>
    <w:rsid w:val="00C240AD"/>
    <w:rsid w:val="00C264AF"/>
    <w:rsid w:val="00C277F9"/>
    <w:rsid w:val="00C31128"/>
    <w:rsid w:val="00C320C8"/>
    <w:rsid w:val="00C32492"/>
    <w:rsid w:val="00C324A8"/>
    <w:rsid w:val="00C3270C"/>
    <w:rsid w:val="00C3334B"/>
    <w:rsid w:val="00C3452C"/>
    <w:rsid w:val="00C34864"/>
    <w:rsid w:val="00C34FE6"/>
    <w:rsid w:val="00C367E9"/>
    <w:rsid w:val="00C40CCD"/>
    <w:rsid w:val="00C4192E"/>
    <w:rsid w:val="00C420A7"/>
    <w:rsid w:val="00C42AA9"/>
    <w:rsid w:val="00C43514"/>
    <w:rsid w:val="00C43ED2"/>
    <w:rsid w:val="00C440A0"/>
    <w:rsid w:val="00C44581"/>
    <w:rsid w:val="00C4490C"/>
    <w:rsid w:val="00C4551B"/>
    <w:rsid w:val="00C46423"/>
    <w:rsid w:val="00C4783D"/>
    <w:rsid w:val="00C5110F"/>
    <w:rsid w:val="00C51FF3"/>
    <w:rsid w:val="00C526EA"/>
    <w:rsid w:val="00C52F21"/>
    <w:rsid w:val="00C542C8"/>
    <w:rsid w:val="00C574F5"/>
    <w:rsid w:val="00C60091"/>
    <w:rsid w:val="00C618E6"/>
    <w:rsid w:val="00C61DFE"/>
    <w:rsid w:val="00C61E41"/>
    <w:rsid w:val="00C635A5"/>
    <w:rsid w:val="00C63A99"/>
    <w:rsid w:val="00C64FE7"/>
    <w:rsid w:val="00C66B60"/>
    <w:rsid w:val="00C66E60"/>
    <w:rsid w:val="00C67075"/>
    <w:rsid w:val="00C70B19"/>
    <w:rsid w:val="00C71ED2"/>
    <w:rsid w:val="00C725E0"/>
    <w:rsid w:val="00C72C21"/>
    <w:rsid w:val="00C7460D"/>
    <w:rsid w:val="00C75FE7"/>
    <w:rsid w:val="00C76155"/>
    <w:rsid w:val="00C76AA8"/>
    <w:rsid w:val="00C7784C"/>
    <w:rsid w:val="00C77954"/>
    <w:rsid w:val="00C77AC5"/>
    <w:rsid w:val="00C803C8"/>
    <w:rsid w:val="00C80AF8"/>
    <w:rsid w:val="00C81E8D"/>
    <w:rsid w:val="00C82E4A"/>
    <w:rsid w:val="00C83797"/>
    <w:rsid w:val="00C84E63"/>
    <w:rsid w:val="00C850E9"/>
    <w:rsid w:val="00C85776"/>
    <w:rsid w:val="00C9017D"/>
    <w:rsid w:val="00C9056E"/>
    <w:rsid w:val="00C90BC0"/>
    <w:rsid w:val="00C91641"/>
    <w:rsid w:val="00C92A94"/>
    <w:rsid w:val="00C93D5B"/>
    <w:rsid w:val="00C95CB2"/>
    <w:rsid w:val="00C95E01"/>
    <w:rsid w:val="00C972D5"/>
    <w:rsid w:val="00C972D7"/>
    <w:rsid w:val="00C9730C"/>
    <w:rsid w:val="00C9782B"/>
    <w:rsid w:val="00CA0996"/>
    <w:rsid w:val="00CA1778"/>
    <w:rsid w:val="00CA1B81"/>
    <w:rsid w:val="00CA20F2"/>
    <w:rsid w:val="00CA2246"/>
    <w:rsid w:val="00CA31CB"/>
    <w:rsid w:val="00CA39ED"/>
    <w:rsid w:val="00CA3A64"/>
    <w:rsid w:val="00CA3C9B"/>
    <w:rsid w:val="00CA4407"/>
    <w:rsid w:val="00CA63A1"/>
    <w:rsid w:val="00CA7398"/>
    <w:rsid w:val="00CA75AC"/>
    <w:rsid w:val="00CB00BC"/>
    <w:rsid w:val="00CB1071"/>
    <w:rsid w:val="00CB1B61"/>
    <w:rsid w:val="00CB1D12"/>
    <w:rsid w:val="00CB332C"/>
    <w:rsid w:val="00CB3C56"/>
    <w:rsid w:val="00CB4506"/>
    <w:rsid w:val="00CB4E9E"/>
    <w:rsid w:val="00CB5635"/>
    <w:rsid w:val="00CB626E"/>
    <w:rsid w:val="00CB6994"/>
    <w:rsid w:val="00CB6A76"/>
    <w:rsid w:val="00CB7CE7"/>
    <w:rsid w:val="00CB7EB2"/>
    <w:rsid w:val="00CC04FD"/>
    <w:rsid w:val="00CC07AA"/>
    <w:rsid w:val="00CC0EAE"/>
    <w:rsid w:val="00CC1F1F"/>
    <w:rsid w:val="00CC4047"/>
    <w:rsid w:val="00CC51C1"/>
    <w:rsid w:val="00CC5A35"/>
    <w:rsid w:val="00CC5E87"/>
    <w:rsid w:val="00CC66AF"/>
    <w:rsid w:val="00CC6DA9"/>
    <w:rsid w:val="00CC7483"/>
    <w:rsid w:val="00CD0275"/>
    <w:rsid w:val="00CD02E0"/>
    <w:rsid w:val="00CD07E9"/>
    <w:rsid w:val="00CD1469"/>
    <w:rsid w:val="00CD1D20"/>
    <w:rsid w:val="00CD2315"/>
    <w:rsid w:val="00CD2492"/>
    <w:rsid w:val="00CD2804"/>
    <w:rsid w:val="00CD3061"/>
    <w:rsid w:val="00CD3B70"/>
    <w:rsid w:val="00CD41AE"/>
    <w:rsid w:val="00CD43BB"/>
    <w:rsid w:val="00CD5316"/>
    <w:rsid w:val="00CD599A"/>
    <w:rsid w:val="00CD6943"/>
    <w:rsid w:val="00CD6CA7"/>
    <w:rsid w:val="00CD6D3E"/>
    <w:rsid w:val="00CD7DA0"/>
    <w:rsid w:val="00CE0BB4"/>
    <w:rsid w:val="00CE396D"/>
    <w:rsid w:val="00CE4FBA"/>
    <w:rsid w:val="00CE5D86"/>
    <w:rsid w:val="00CE6154"/>
    <w:rsid w:val="00CE6AD6"/>
    <w:rsid w:val="00CE6C90"/>
    <w:rsid w:val="00CE71D7"/>
    <w:rsid w:val="00CF0675"/>
    <w:rsid w:val="00CF12A3"/>
    <w:rsid w:val="00CF144A"/>
    <w:rsid w:val="00CF208B"/>
    <w:rsid w:val="00CF26BA"/>
    <w:rsid w:val="00CF403A"/>
    <w:rsid w:val="00CF4B63"/>
    <w:rsid w:val="00CF4C4C"/>
    <w:rsid w:val="00CF5124"/>
    <w:rsid w:val="00CF5214"/>
    <w:rsid w:val="00CF55F0"/>
    <w:rsid w:val="00CF5C99"/>
    <w:rsid w:val="00CF7203"/>
    <w:rsid w:val="00D00D06"/>
    <w:rsid w:val="00D016F1"/>
    <w:rsid w:val="00D019F9"/>
    <w:rsid w:val="00D02D22"/>
    <w:rsid w:val="00D02E25"/>
    <w:rsid w:val="00D0563B"/>
    <w:rsid w:val="00D0566C"/>
    <w:rsid w:val="00D06361"/>
    <w:rsid w:val="00D079E7"/>
    <w:rsid w:val="00D108DF"/>
    <w:rsid w:val="00D1120E"/>
    <w:rsid w:val="00D11EDC"/>
    <w:rsid w:val="00D12891"/>
    <w:rsid w:val="00D12C62"/>
    <w:rsid w:val="00D138ED"/>
    <w:rsid w:val="00D149F0"/>
    <w:rsid w:val="00D15C44"/>
    <w:rsid w:val="00D16149"/>
    <w:rsid w:val="00D164B3"/>
    <w:rsid w:val="00D1664C"/>
    <w:rsid w:val="00D16B9F"/>
    <w:rsid w:val="00D16E0B"/>
    <w:rsid w:val="00D1710E"/>
    <w:rsid w:val="00D17CE3"/>
    <w:rsid w:val="00D200F8"/>
    <w:rsid w:val="00D202A7"/>
    <w:rsid w:val="00D20BDD"/>
    <w:rsid w:val="00D2160A"/>
    <w:rsid w:val="00D22AE1"/>
    <w:rsid w:val="00D23019"/>
    <w:rsid w:val="00D231EA"/>
    <w:rsid w:val="00D235D8"/>
    <w:rsid w:val="00D25549"/>
    <w:rsid w:val="00D25AB3"/>
    <w:rsid w:val="00D25CC9"/>
    <w:rsid w:val="00D26183"/>
    <w:rsid w:val="00D265CA"/>
    <w:rsid w:val="00D27839"/>
    <w:rsid w:val="00D30B88"/>
    <w:rsid w:val="00D31DAF"/>
    <w:rsid w:val="00D32432"/>
    <w:rsid w:val="00D32492"/>
    <w:rsid w:val="00D32BB1"/>
    <w:rsid w:val="00D32CEF"/>
    <w:rsid w:val="00D330EE"/>
    <w:rsid w:val="00D345CF"/>
    <w:rsid w:val="00D34C7C"/>
    <w:rsid w:val="00D35A6C"/>
    <w:rsid w:val="00D35C09"/>
    <w:rsid w:val="00D362A3"/>
    <w:rsid w:val="00D4049D"/>
    <w:rsid w:val="00D4087C"/>
    <w:rsid w:val="00D40B9A"/>
    <w:rsid w:val="00D40CEE"/>
    <w:rsid w:val="00D41186"/>
    <w:rsid w:val="00D42BA9"/>
    <w:rsid w:val="00D4411B"/>
    <w:rsid w:val="00D44A67"/>
    <w:rsid w:val="00D44E4C"/>
    <w:rsid w:val="00D4517A"/>
    <w:rsid w:val="00D46903"/>
    <w:rsid w:val="00D46EA2"/>
    <w:rsid w:val="00D51659"/>
    <w:rsid w:val="00D53ED2"/>
    <w:rsid w:val="00D54442"/>
    <w:rsid w:val="00D54A50"/>
    <w:rsid w:val="00D557B4"/>
    <w:rsid w:val="00D56058"/>
    <w:rsid w:val="00D56518"/>
    <w:rsid w:val="00D57B4F"/>
    <w:rsid w:val="00D57DA0"/>
    <w:rsid w:val="00D609EB"/>
    <w:rsid w:val="00D60A19"/>
    <w:rsid w:val="00D62FEA"/>
    <w:rsid w:val="00D63642"/>
    <w:rsid w:val="00D63A62"/>
    <w:rsid w:val="00D64AC6"/>
    <w:rsid w:val="00D64B0D"/>
    <w:rsid w:val="00D65168"/>
    <w:rsid w:val="00D653AD"/>
    <w:rsid w:val="00D65CE9"/>
    <w:rsid w:val="00D66F5F"/>
    <w:rsid w:val="00D713B6"/>
    <w:rsid w:val="00D713DE"/>
    <w:rsid w:val="00D71BD4"/>
    <w:rsid w:val="00D723AF"/>
    <w:rsid w:val="00D72D85"/>
    <w:rsid w:val="00D72FCB"/>
    <w:rsid w:val="00D73536"/>
    <w:rsid w:val="00D73B00"/>
    <w:rsid w:val="00D74F25"/>
    <w:rsid w:val="00D76492"/>
    <w:rsid w:val="00D76E29"/>
    <w:rsid w:val="00D77A10"/>
    <w:rsid w:val="00D77EC8"/>
    <w:rsid w:val="00D80205"/>
    <w:rsid w:val="00D8067D"/>
    <w:rsid w:val="00D806B3"/>
    <w:rsid w:val="00D81605"/>
    <w:rsid w:val="00D81ACF"/>
    <w:rsid w:val="00D8346E"/>
    <w:rsid w:val="00D843A4"/>
    <w:rsid w:val="00D846BE"/>
    <w:rsid w:val="00D847CD"/>
    <w:rsid w:val="00D856CA"/>
    <w:rsid w:val="00D858BE"/>
    <w:rsid w:val="00D85EC7"/>
    <w:rsid w:val="00D864DB"/>
    <w:rsid w:val="00D867F2"/>
    <w:rsid w:val="00D86E34"/>
    <w:rsid w:val="00D87B4C"/>
    <w:rsid w:val="00D90474"/>
    <w:rsid w:val="00D93A94"/>
    <w:rsid w:val="00D93EF0"/>
    <w:rsid w:val="00D945E8"/>
    <w:rsid w:val="00D94815"/>
    <w:rsid w:val="00D9635F"/>
    <w:rsid w:val="00D97478"/>
    <w:rsid w:val="00D97A19"/>
    <w:rsid w:val="00D97EDD"/>
    <w:rsid w:val="00DA0EC2"/>
    <w:rsid w:val="00DA0FFA"/>
    <w:rsid w:val="00DA3012"/>
    <w:rsid w:val="00DA3308"/>
    <w:rsid w:val="00DA37A1"/>
    <w:rsid w:val="00DA37F3"/>
    <w:rsid w:val="00DA4119"/>
    <w:rsid w:val="00DA56B6"/>
    <w:rsid w:val="00DA70CB"/>
    <w:rsid w:val="00DA7112"/>
    <w:rsid w:val="00DB053A"/>
    <w:rsid w:val="00DB1827"/>
    <w:rsid w:val="00DB2045"/>
    <w:rsid w:val="00DB33EA"/>
    <w:rsid w:val="00DB3865"/>
    <w:rsid w:val="00DB4AC9"/>
    <w:rsid w:val="00DB557C"/>
    <w:rsid w:val="00DB5B50"/>
    <w:rsid w:val="00DB66E1"/>
    <w:rsid w:val="00DB731A"/>
    <w:rsid w:val="00DB7718"/>
    <w:rsid w:val="00DB7998"/>
    <w:rsid w:val="00DC157E"/>
    <w:rsid w:val="00DC15E3"/>
    <w:rsid w:val="00DC1BB1"/>
    <w:rsid w:val="00DC316A"/>
    <w:rsid w:val="00DC453C"/>
    <w:rsid w:val="00DC5AF2"/>
    <w:rsid w:val="00DC5F34"/>
    <w:rsid w:val="00DC63A2"/>
    <w:rsid w:val="00DC7603"/>
    <w:rsid w:val="00DD13AA"/>
    <w:rsid w:val="00DD1EC5"/>
    <w:rsid w:val="00DD2250"/>
    <w:rsid w:val="00DD2709"/>
    <w:rsid w:val="00DD2AD3"/>
    <w:rsid w:val="00DD2B99"/>
    <w:rsid w:val="00DD2D6C"/>
    <w:rsid w:val="00DD3407"/>
    <w:rsid w:val="00DD37DA"/>
    <w:rsid w:val="00DD3AEC"/>
    <w:rsid w:val="00DD3B06"/>
    <w:rsid w:val="00DD3FAC"/>
    <w:rsid w:val="00DD43A2"/>
    <w:rsid w:val="00DD5B49"/>
    <w:rsid w:val="00DD784C"/>
    <w:rsid w:val="00DD7D92"/>
    <w:rsid w:val="00DE05A7"/>
    <w:rsid w:val="00DE0E8A"/>
    <w:rsid w:val="00DE2915"/>
    <w:rsid w:val="00DE37E3"/>
    <w:rsid w:val="00DE4310"/>
    <w:rsid w:val="00DE4475"/>
    <w:rsid w:val="00DE5059"/>
    <w:rsid w:val="00DE5B35"/>
    <w:rsid w:val="00DF0893"/>
    <w:rsid w:val="00DF1DA6"/>
    <w:rsid w:val="00DF21EE"/>
    <w:rsid w:val="00DF2801"/>
    <w:rsid w:val="00DF31EF"/>
    <w:rsid w:val="00DF3372"/>
    <w:rsid w:val="00DF445C"/>
    <w:rsid w:val="00DF469F"/>
    <w:rsid w:val="00DF4E04"/>
    <w:rsid w:val="00DF4E68"/>
    <w:rsid w:val="00DF52B2"/>
    <w:rsid w:val="00DF6728"/>
    <w:rsid w:val="00DF680A"/>
    <w:rsid w:val="00DF6F84"/>
    <w:rsid w:val="00DF7ACC"/>
    <w:rsid w:val="00DF7E01"/>
    <w:rsid w:val="00E0213F"/>
    <w:rsid w:val="00E039B9"/>
    <w:rsid w:val="00E04928"/>
    <w:rsid w:val="00E058D8"/>
    <w:rsid w:val="00E069D3"/>
    <w:rsid w:val="00E06C15"/>
    <w:rsid w:val="00E0764F"/>
    <w:rsid w:val="00E077DB"/>
    <w:rsid w:val="00E07B38"/>
    <w:rsid w:val="00E07E4D"/>
    <w:rsid w:val="00E10FE0"/>
    <w:rsid w:val="00E14347"/>
    <w:rsid w:val="00E14D86"/>
    <w:rsid w:val="00E15267"/>
    <w:rsid w:val="00E15997"/>
    <w:rsid w:val="00E15D56"/>
    <w:rsid w:val="00E16818"/>
    <w:rsid w:val="00E16E5F"/>
    <w:rsid w:val="00E2029A"/>
    <w:rsid w:val="00E20F5E"/>
    <w:rsid w:val="00E21EDC"/>
    <w:rsid w:val="00E22CFE"/>
    <w:rsid w:val="00E24837"/>
    <w:rsid w:val="00E31625"/>
    <w:rsid w:val="00E31702"/>
    <w:rsid w:val="00E32B6F"/>
    <w:rsid w:val="00E32E01"/>
    <w:rsid w:val="00E3366E"/>
    <w:rsid w:val="00E341F3"/>
    <w:rsid w:val="00E36624"/>
    <w:rsid w:val="00E36861"/>
    <w:rsid w:val="00E377E8"/>
    <w:rsid w:val="00E37C47"/>
    <w:rsid w:val="00E41C02"/>
    <w:rsid w:val="00E42A13"/>
    <w:rsid w:val="00E44514"/>
    <w:rsid w:val="00E446F6"/>
    <w:rsid w:val="00E447E7"/>
    <w:rsid w:val="00E44A34"/>
    <w:rsid w:val="00E4542F"/>
    <w:rsid w:val="00E4619F"/>
    <w:rsid w:val="00E50443"/>
    <w:rsid w:val="00E531C9"/>
    <w:rsid w:val="00E531D2"/>
    <w:rsid w:val="00E53758"/>
    <w:rsid w:val="00E5393B"/>
    <w:rsid w:val="00E55BFC"/>
    <w:rsid w:val="00E55E7D"/>
    <w:rsid w:val="00E5683A"/>
    <w:rsid w:val="00E56DE1"/>
    <w:rsid w:val="00E57F8B"/>
    <w:rsid w:val="00E60B43"/>
    <w:rsid w:val="00E618AB"/>
    <w:rsid w:val="00E623D9"/>
    <w:rsid w:val="00E6252D"/>
    <w:rsid w:val="00E63157"/>
    <w:rsid w:val="00E633BB"/>
    <w:rsid w:val="00E63C3F"/>
    <w:rsid w:val="00E63E81"/>
    <w:rsid w:val="00E6471F"/>
    <w:rsid w:val="00E64AB0"/>
    <w:rsid w:val="00E6565E"/>
    <w:rsid w:val="00E66118"/>
    <w:rsid w:val="00E67625"/>
    <w:rsid w:val="00E67809"/>
    <w:rsid w:val="00E70CF2"/>
    <w:rsid w:val="00E71EA5"/>
    <w:rsid w:val="00E72CAB"/>
    <w:rsid w:val="00E73208"/>
    <w:rsid w:val="00E73837"/>
    <w:rsid w:val="00E73B85"/>
    <w:rsid w:val="00E7498E"/>
    <w:rsid w:val="00E74F54"/>
    <w:rsid w:val="00E76BE5"/>
    <w:rsid w:val="00E776DC"/>
    <w:rsid w:val="00E802E3"/>
    <w:rsid w:val="00E82E09"/>
    <w:rsid w:val="00E8333D"/>
    <w:rsid w:val="00E83564"/>
    <w:rsid w:val="00E845B0"/>
    <w:rsid w:val="00E8472C"/>
    <w:rsid w:val="00E84740"/>
    <w:rsid w:val="00E90EA1"/>
    <w:rsid w:val="00E91CD0"/>
    <w:rsid w:val="00E91E1D"/>
    <w:rsid w:val="00E920C2"/>
    <w:rsid w:val="00E9365D"/>
    <w:rsid w:val="00E93DA0"/>
    <w:rsid w:val="00E9400A"/>
    <w:rsid w:val="00E941E1"/>
    <w:rsid w:val="00E95200"/>
    <w:rsid w:val="00E95779"/>
    <w:rsid w:val="00E96759"/>
    <w:rsid w:val="00E96760"/>
    <w:rsid w:val="00E96DD3"/>
    <w:rsid w:val="00EA021F"/>
    <w:rsid w:val="00EA0844"/>
    <w:rsid w:val="00EA08CE"/>
    <w:rsid w:val="00EA1965"/>
    <w:rsid w:val="00EA1B0D"/>
    <w:rsid w:val="00EA22D2"/>
    <w:rsid w:val="00EA2C7C"/>
    <w:rsid w:val="00EA369C"/>
    <w:rsid w:val="00EA3B7D"/>
    <w:rsid w:val="00EA3E0C"/>
    <w:rsid w:val="00EA4C88"/>
    <w:rsid w:val="00EA52E8"/>
    <w:rsid w:val="00EA59A4"/>
    <w:rsid w:val="00EA5FEE"/>
    <w:rsid w:val="00EA6319"/>
    <w:rsid w:val="00EA66C5"/>
    <w:rsid w:val="00EA6E65"/>
    <w:rsid w:val="00EB0DD9"/>
    <w:rsid w:val="00EB1494"/>
    <w:rsid w:val="00EB15B9"/>
    <w:rsid w:val="00EB221B"/>
    <w:rsid w:val="00EB2A5E"/>
    <w:rsid w:val="00EB2D3F"/>
    <w:rsid w:val="00EB417D"/>
    <w:rsid w:val="00EB41FC"/>
    <w:rsid w:val="00EB495D"/>
    <w:rsid w:val="00EB55E3"/>
    <w:rsid w:val="00EB5AD2"/>
    <w:rsid w:val="00EB5CFB"/>
    <w:rsid w:val="00EB6117"/>
    <w:rsid w:val="00EB66AB"/>
    <w:rsid w:val="00EB671C"/>
    <w:rsid w:val="00EB72EF"/>
    <w:rsid w:val="00EB7D6C"/>
    <w:rsid w:val="00EC0AE1"/>
    <w:rsid w:val="00EC0D67"/>
    <w:rsid w:val="00EC20A0"/>
    <w:rsid w:val="00EC25D7"/>
    <w:rsid w:val="00EC2740"/>
    <w:rsid w:val="00EC318F"/>
    <w:rsid w:val="00EC31B3"/>
    <w:rsid w:val="00EC6024"/>
    <w:rsid w:val="00EC6EAE"/>
    <w:rsid w:val="00EC77C3"/>
    <w:rsid w:val="00EC7816"/>
    <w:rsid w:val="00EC781E"/>
    <w:rsid w:val="00EC782A"/>
    <w:rsid w:val="00ED054B"/>
    <w:rsid w:val="00ED357C"/>
    <w:rsid w:val="00ED4DD7"/>
    <w:rsid w:val="00ED4FCF"/>
    <w:rsid w:val="00ED6A91"/>
    <w:rsid w:val="00ED6C90"/>
    <w:rsid w:val="00ED759C"/>
    <w:rsid w:val="00EE01CD"/>
    <w:rsid w:val="00EE059A"/>
    <w:rsid w:val="00EE1B33"/>
    <w:rsid w:val="00EE2567"/>
    <w:rsid w:val="00EE2E8B"/>
    <w:rsid w:val="00EE2F61"/>
    <w:rsid w:val="00EE3A0D"/>
    <w:rsid w:val="00EE4EA4"/>
    <w:rsid w:val="00EE7B0E"/>
    <w:rsid w:val="00EE7F11"/>
    <w:rsid w:val="00EF01BA"/>
    <w:rsid w:val="00EF0847"/>
    <w:rsid w:val="00EF0FE8"/>
    <w:rsid w:val="00EF1BB5"/>
    <w:rsid w:val="00EF1C11"/>
    <w:rsid w:val="00EF1EA3"/>
    <w:rsid w:val="00EF2299"/>
    <w:rsid w:val="00EF29A9"/>
    <w:rsid w:val="00EF2B4E"/>
    <w:rsid w:val="00EF3958"/>
    <w:rsid w:val="00EF492D"/>
    <w:rsid w:val="00EF779B"/>
    <w:rsid w:val="00F0078B"/>
    <w:rsid w:val="00F02892"/>
    <w:rsid w:val="00F052AA"/>
    <w:rsid w:val="00F0559E"/>
    <w:rsid w:val="00F05891"/>
    <w:rsid w:val="00F061F1"/>
    <w:rsid w:val="00F064FF"/>
    <w:rsid w:val="00F06C43"/>
    <w:rsid w:val="00F07D9E"/>
    <w:rsid w:val="00F105A3"/>
    <w:rsid w:val="00F12954"/>
    <w:rsid w:val="00F13306"/>
    <w:rsid w:val="00F135FD"/>
    <w:rsid w:val="00F13826"/>
    <w:rsid w:val="00F1438A"/>
    <w:rsid w:val="00F15839"/>
    <w:rsid w:val="00F163A8"/>
    <w:rsid w:val="00F178E3"/>
    <w:rsid w:val="00F202EB"/>
    <w:rsid w:val="00F21AA5"/>
    <w:rsid w:val="00F21E78"/>
    <w:rsid w:val="00F22838"/>
    <w:rsid w:val="00F22E72"/>
    <w:rsid w:val="00F23314"/>
    <w:rsid w:val="00F235DE"/>
    <w:rsid w:val="00F239F9"/>
    <w:rsid w:val="00F241B7"/>
    <w:rsid w:val="00F24321"/>
    <w:rsid w:val="00F2437C"/>
    <w:rsid w:val="00F26FC6"/>
    <w:rsid w:val="00F2726F"/>
    <w:rsid w:val="00F273E5"/>
    <w:rsid w:val="00F27AF8"/>
    <w:rsid w:val="00F30EF9"/>
    <w:rsid w:val="00F311EE"/>
    <w:rsid w:val="00F315AC"/>
    <w:rsid w:val="00F31C07"/>
    <w:rsid w:val="00F32171"/>
    <w:rsid w:val="00F32631"/>
    <w:rsid w:val="00F32CBF"/>
    <w:rsid w:val="00F32DE0"/>
    <w:rsid w:val="00F330EF"/>
    <w:rsid w:val="00F3317A"/>
    <w:rsid w:val="00F331A2"/>
    <w:rsid w:val="00F340AF"/>
    <w:rsid w:val="00F3413C"/>
    <w:rsid w:val="00F343F9"/>
    <w:rsid w:val="00F34E3F"/>
    <w:rsid w:val="00F3569F"/>
    <w:rsid w:val="00F35BE0"/>
    <w:rsid w:val="00F35DFD"/>
    <w:rsid w:val="00F35F56"/>
    <w:rsid w:val="00F372E1"/>
    <w:rsid w:val="00F377B9"/>
    <w:rsid w:val="00F40204"/>
    <w:rsid w:val="00F40E4D"/>
    <w:rsid w:val="00F41D39"/>
    <w:rsid w:val="00F41FBB"/>
    <w:rsid w:val="00F42370"/>
    <w:rsid w:val="00F42499"/>
    <w:rsid w:val="00F43674"/>
    <w:rsid w:val="00F4451C"/>
    <w:rsid w:val="00F47095"/>
    <w:rsid w:val="00F4792F"/>
    <w:rsid w:val="00F479B8"/>
    <w:rsid w:val="00F47BB2"/>
    <w:rsid w:val="00F50C37"/>
    <w:rsid w:val="00F51A5E"/>
    <w:rsid w:val="00F51D51"/>
    <w:rsid w:val="00F52D16"/>
    <w:rsid w:val="00F53176"/>
    <w:rsid w:val="00F54B2E"/>
    <w:rsid w:val="00F557A0"/>
    <w:rsid w:val="00F5583F"/>
    <w:rsid w:val="00F55869"/>
    <w:rsid w:val="00F5605C"/>
    <w:rsid w:val="00F567C1"/>
    <w:rsid w:val="00F57230"/>
    <w:rsid w:val="00F573D7"/>
    <w:rsid w:val="00F574CF"/>
    <w:rsid w:val="00F57897"/>
    <w:rsid w:val="00F60AE2"/>
    <w:rsid w:val="00F60CBF"/>
    <w:rsid w:val="00F6119E"/>
    <w:rsid w:val="00F614E3"/>
    <w:rsid w:val="00F63567"/>
    <w:rsid w:val="00F6374A"/>
    <w:rsid w:val="00F6399D"/>
    <w:rsid w:val="00F649A5"/>
    <w:rsid w:val="00F64D21"/>
    <w:rsid w:val="00F66548"/>
    <w:rsid w:val="00F66779"/>
    <w:rsid w:val="00F66A0A"/>
    <w:rsid w:val="00F6712D"/>
    <w:rsid w:val="00F70C83"/>
    <w:rsid w:val="00F71C5D"/>
    <w:rsid w:val="00F73BF7"/>
    <w:rsid w:val="00F73ED1"/>
    <w:rsid w:val="00F740C6"/>
    <w:rsid w:val="00F744DA"/>
    <w:rsid w:val="00F75F78"/>
    <w:rsid w:val="00F76B8B"/>
    <w:rsid w:val="00F76F2A"/>
    <w:rsid w:val="00F77F11"/>
    <w:rsid w:val="00F80266"/>
    <w:rsid w:val="00F807EB"/>
    <w:rsid w:val="00F811AA"/>
    <w:rsid w:val="00F8156A"/>
    <w:rsid w:val="00F83829"/>
    <w:rsid w:val="00F8424B"/>
    <w:rsid w:val="00F84397"/>
    <w:rsid w:val="00F84B1A"/>
    <w:rsid w:val="00F86F84"/>
    <w:rsid w:val="00F870E3"/>
    <w:rsid w:val="00F87E3B"/>
    <w:rsid w:val="00F91CA6"/>
    <w:rsid w:val="00F91EED"/>
    <w:rsid w:val="00F92959"/>
    <w:rsid w:val="00F933AC"/>
    <w:rsid w:val="00F949BC"/>
    <w:rsid w:val="00F94A27"/>
    <w:rsid w:val="00F956A3"/>
    <w:rsid w:val="00F95A0A"/>
    <w:rsid w:val="00F969C5"/>
    <w:rsid w:val="00F96DBF"/>
    <w:rsid w:val="00F97533"/>
    <w:rsid w:val="00F97926"/>
    <w:rsid w:val="00FA1B8E"/>
    <w:rsid w:val="00FA3B1D"/>
    <w:rsid w:val="00FA3C9E"/>
    <w:rsid w:val="00FA45E5"/>
    <w:rsid w:val="00FA4D07"/>
    <w:rsid w:val="00FA5D60"/>
    <w:rsid w:val="00FA626B"/>
    <w:rsid w:val="00FA65A7"/>
    <w:rsid w:val="00FA66C4"/>
    <w:rsid w:val="00FA7CBB"/>
    <w:rsid w:val="00FB0627"/>
    <w:rsid w:val="00FB11EC"/>
    <w:rsid w:val="00FB1EAB"/>
    <w:rsid w:val="00FB2761"/>
    <w:rsid w:val="00FB3CFF"/>
    <w:rsid w:val="00FB3DA1"/>
    <w:rsid w:val="00FB4150"/>
    <w:rsid w:val="00FB5EFB"/>
    <w:rsid w:val="00FC1DF2"/>
    <w:rsid w:val="00FC1EAA"/>
    <w:rsid w:val="00FC2146"/>
    <w:rsid w:val="00FC27B2"/>
    <w:rsid w:val="00FC2F8B"/>
    <w:rsid w:val="00FC4BD8"/>
    <w:rsid w:val="00FC4DFD"/>
    <w:rsid w:val="00FC599A"/>
    <w:rsid w:val="00FC5ED3"/>
    <w:rsid w:val="00FC6139"/>
    <w:rsid w:val="00FC7A3E"/>
    <w:rsid w:val="00FC7CD8"/>
    <w:rsid w:val="00FC7E16"/>
    <w:rsid w:val="00FC7EF8"/>
    <w:rsid w:val="00FD0036"/>
    <w:rsid w:val="00FD0964"/>
    <w:rsid w:val="00FD1063"/>
    <w:rsid w:val="00FD10B6"/>
    <w:rsid w:val="00FD15D4"/>
    <w:rsid w:val="00FD1DBC"/>
    <w:rsid w:val="00FD3192"/>
    <w:rsid w:val="00FD3306"/>
    <w:rsid w:val="00FD35EF"/>
    <w:rsid w:val="00FD7417"/>
    <w:rsid w:val="00FE0A56"/>
    <w:rsid w:val="00FE1421"/>
    <w:rsid w:val="00FE168B"/>
    <w:rsid w:val="00FE24E8"/>
    <w:rsid w:val="00FE33DE"/>
    <w:rsid w:val="00FE363A"/>
    <w:rsid w:val="00FE5F5F"/>
    <w:rsid w:val="00FE6003"/>
    <w:rsid w:val="00FE687E"/>
    <w:rsid w:val="00FE7E57"/>
    <w:rsid w:val="00FF0684"/>
    <w:rsid w:val="00FF0760"/>
    <w:rsid w:val="00FF14FC"/>
    <w:rsid w:val="00FF1921"/>
    <w:rsid w:val="00FF239D"/>
    <w:rsid w:val="00FF2BBC"/>
    <w:rsid w:val="00FF2F61"/>
    <w:rsid w:val="00FF320E"/>
    <w:rsid w:val="00FF4EBA"/>
    <w:rsid w:val="00FF55EF"/>
    <w:rsid w:val="00FF58CC"/>
    <w:rsid w:val="00FF5C9B"/>
    <w:rsid w:val="00FF645B"/>
    <w:rsid w:val="00FF7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72"/>
    <w:rPr>
      <w:rFonts w:cs="Calibri"/>
      <w:sz w:val="22"/>
      <w:szCs w:val="22"/>
      <w:lang w:eastAsia="en-US"/>
    </w:rPr>
  </w:style>
  <w:style w:type="paragraph" w:styleId="Heading1">
    <w:name w:val="heading 1"/>
    <w:basedOn w:val="Normal"/>
    <w:next w:val="Normal"/>
    <w:link w:val="Heading1Char"/>
    <w:qFormat/>
    <w:rsid w:val="00AC56F7"/>
    <w:pPr>
      <w:keepNext/>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337066"/>
    <w:pPr>
      <w:keepNext/>
      <w:spacing w:before="240" w:after="60"/>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uiPriority w:val="9"/>
    <w:unhideWhenUsed/>
    <w:qFormat/>
    <w:rsid w:val="0022465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3F6BDC"/>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2EC"/>
    <w:pPr>
      <w:tabs>
        <w:tab w:val="center" w:pos="4819"/>
        <w:tab w:val="right" w:pos="9071"/>
      </w:tabs>
    </w:pPr>
    <w:rPr>
      <w:rFonts w:ascii="Arial" w:hAnsi="Arial"/>
      <w:szCs w:val="20"/>
      <w:lang w:val="en-GB"/>
    </w:rPr>
  </w:style>
  <w:style w:type="character" w:customStyle="1" w:styleId="HeaderChar">
    <w:name w:val="Header Char"/>
    <w:link w:val="Header"/>
    <w:rsid w:val="003442EC"/>
    <w:rPr>
      <w:rFonts w:ascii="Arial" w:eastAsia="Times New Roman" w:hAnsi="Arial" w:cs="Times New Roman"/>
      <w:sz w:val="24"/>
      <w:szCs w:val="20"/>
      <w:lang w:val="en-GB" w:eastAsia="en-AU"/>
    </w:rPr>
  </w:style>
  <w:style w:type="character" w:styleId="PageNumber">
    <w:name w:val="page number"/>
    <w:basedOn w:val="DefaultParagraphFont"/>
    <w:rsid w:val="003442EC"/>
  </w:style>
  <w:style w:type="paragraph" w:styleId="ListParagraph">
    <w:name w:val="List Paragraph"/>
    <w:basedOn w:val="Normal"/>
    <w:uiPriority w:val="34"/>
    <w:qFormat/>
    <w:rsid w:val="003442EC"/>
    <w:pPr>
      <w:ind w:left="720"/>
      <w:contextualSpacing/>
    </w:pPr>
    <w:rPr>
      <w:rFonts w:ascii="Arial" w:hAnsi="Arial"/>
      <w:szCs w:val="20"/>
      <w:lang w:val="en-GB"/>
    </w:rPr>
  </w:style>
  <w:style w:type="character" w:styleId="Hyperlink">
    <w:name w:val="Hyperlink"/>
    <w:uiPriority w:val="99"/>
    <w:qFormat/>
    <w:rsid w:val="003442EC"/>
    <w:rPr>
      <w:color w:val="0000FF"/>
      <w:u w:val="single"/>
    </w:rPr>
  </w:style>
  <w:style w:type="paragraph" w:styleId="FootnoteText">
    <w:name w:val="footnote text"/>
    <w:basedOn w:val="Normal"/>
    <w:link w:val="FootnoteTextChar"/>
    <w:uiPriority w:val="99"/>
    <w:rsid w:val="003442EC"/>
    <w:rPr>
      <w:rFonts w:ascii="Arial" w:hAnsi="Arial"/>
      <w:sz w:val="20"/>
      <w:szCs w:val="20"/>
      <w:lang w:val="en-GB"/>
    </w:rPr>
  </w:style>
  <w:style w:type="character" w:customStyle="1" w:styleId="FootnoteTextChar">
    <w:name w:val="Footnote Text Char"/>
    <w:link w:val="FootnoteText"/>
    <w:uiPriority w:val="99"/>
    <w:rsid w:val="003442EC"/>
    <w:rPr>
      <w:rFonts w:ascii="Arial" w:eastAsia="Times New Roman" w:hAnsi="Arial" w:cs="Times New Roman"/>
      <w:sz w:val="20"/>
      <w:szCs w:val="20"/>
      <w:lang w:val="en-GB" w:eastAsia="en-AU"/>
    </w:rPr>
  </w:style>
  <w:style w:type="character" w:styleId="FootnoteReference">
    <w:name w:val="footnote reference"/>
    <w:uiPriority w:val="99"/>
    <w:rsid w:val="003442EC"/>
    <w:rPr>
      <w:vertAlign w:val="superscript"/>
    </w:rPr>
  </w:style>
  <w:style w:type="paragraph" w:styleId="NoSpacing">
    <w:name w:val="No Spacing"/>
    <w:uiPriority w:val="1"/>
    <w:qFormat/>
    <w:rsid w:val="003442EC"/>
    <w:rPr>
      <w:sz w:val="22"/>
      <w:szCs w:val="22"/>
      <w:lang w:eastAsia="en-US"/>
    </w:rPr>
  </w:style>
  <w:style w:type="paragraph" w:styleId="BalloonText">
    <w:name w:val="Balloon Text"/>
    <w:basedOn w:val="Normal"/>
    <w:link w:val="BalloonTextChar"/>
    <w:uiPriority w:val="99"/>
    <w:semiHidden/>
    <w:unhideWhenUsed/>
    <w:rsid w:val="003442EC"/>
    <w:rPr>
      <w:rFonts w:ascii="Tahoma" w:hAnsi="Tahoma" w:cs="Tahoma"/>
      <w:sz w:val="16"/>
      <w:szCs w:val="16"/>
      <w:lang w:val="en-GB"/>
    </w:rPr>
  </w:style>
  <w:style w:type="character" w:customStyle="1" w:styleId="BalloonTextChar">
    <w:name w:val="Balloon Text Char"/>
    <w:link w:val="BalloonText"/>
    <w:uiPriority w:val="99"/>
    <w:semiHidden/>
    <w:rsid w:val="003442EC"/>
    <w:rPr>
      <w:rFonts w:ascii="Tahoma" w:eastAsia="Times New Roman" w:hAnsi="Tahoma" w:cs="Tahoma"/>
      <w:sz w:val="16"/>
      <w:szCs w:val="16"/>
      <w:lang w:val="en-GB" w:eastAsia="en-AU"/>
    </w:rPr>
  </w:style>
  <w:style w:type="paragraph" w:styleId="Footer">
    <w:name w:val="footer"/>
    <w:basedOn w:val="Normal"/>
    <w:link w:val="FooterChar"/>
    <w:uiPriority w:val="99"/>
    <w:unhideWhenUsed/>
    <w:rsid w:val="00CF7203"/>
    <w:pPr>
      <w:tabs>
        <w:tab w:val="center" w:pos="4513"/>
        <w:tab w:val="right" w:pos="9026"/>
      </w:tabs>
    </w:pPr>
    <w:rPr>
      <w:rFonts w:ascii="Arial" w:hAnsi="Arial"/>
      <w:szCs w:val="20"/>
      <w:lang w:val="en-GB"/>
    </w:rPr>
  </w:style>
  <w:style w:type="character" w:customStyle="1" w:styleId="FooterChar">
    <w:name w:val="Footer Char"/>
    <w:link w:val="Footer"/>
    <w:uiPriority w:val="99"/>
    <w:rsid w:val="00CF7203"/>
    <w:rPr>
      <w:rFonts w:ascii="Arial" w:eastAsia="Times New Roman" w:hAnsi="Arial"/>
      <w:sz w:val="24"/>
      <w:lang w:val="en-GB"/>
    </w:rPr>
  </w:style>
  <w:style w:type="character" w:styleId="CommentReference">
    <w:name w:val="annotation reference"/>
    <w:uiPriority w:val="99"/>
    <w:semiHidden/>
    <w:unhideWhenUsed/>
    <w:rsid w:val="008C1DE6"/>
    <w:rPr>
      <w:sz w:val="16"/>
      <w:szCs w:val="16"/>
    </w:rPr>
  </w:style>
  <w:style w:type="paragraph" w:styleId="CommentText">
    <w:name w:val="annotation text"/>
    <w:basedOn w:val="Normal"/>
    <w:link w:val="CommentTextChar"/>
    <w:uiPriority w:val="99"/>
    <w:semiHidden/>
    <w:unhideWhenUsed/>
    <w:rsid w:val="008C1DE6"/>
    <w:rPr>
      <w:rFonts w:ascii="Arial" w:hAnsi="Arial"/>
      <w:sz w:val="20"/>
      <w:szCs w:val="20"/>
      <w:lang w:val="en-GB"/>
    </w:rPr>
  </w:style>
  <w:style w:type="character" w:customStyle="1" w:styleId="CommentTextChar">
    <w:name w:val="Comment Text Char"/>
    <w:link w:val="CommentText"/>
    <w:uiPriority w:val="99"/>
    <w:semiHidden/>
    <w:rsid w:val="008C1DE6"/>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8C1DE6"/>
    <w:rPr>
      <w:b/>
      <w:bCs/>
    </w:rPr>
  </w:style>
  <w:style w:type="character" w:customStyle="1" w:styleId="CommentSubjectChar">
    <w:name w:val="Comment Subject Char"/>
    <w:link w:val="CommentSubject"/>
    <w:uiPriority w:val="99"/>
    <w:semiHidden/>
    <w:rsid w:val="008C1DE6"/>
    <w:rPr>
      <w:rFonts w:ascii="Arial" w:eastAsia="Times New Roman" w:hAnsi="Arial"/>
      <w:b/>
      <w:bCs/>
      <w:lang w:val="en-GB"/>
    </w:rPr>
  </w:style>
  <w:style w:type="character" w:customStyle="1" w:styleId="Heading1Char">
    <w:name w:val="Heading 1 Char"/>
    <w:link w:val="Heading1"/>
    <w:rsid w:val="00AC56F7"/>
    <w:rPr>
      <w:rFonts w:ascii="Cambria" w:eastAsia="Times New Roman" w:hAnsi="Cambria"/>
      <w:b/>
      <w:bCs/>
      <w:kern w:val="32"/>
      <w:sz w:val="32"/>
      <w:szCs w:val="32"/>
      <w:lang w:val="en-GB"/>
    </w:rPr>
  </w:style>
  <w:style w:type="paragraph" w:styleId="TOCHeading">
    <w:name w:val="TOC Heading"/>
    <w:basedOn w:val="Heading1"/>
    <w:next w:val="Normal"/>
    <w:uiPriority w:val="39"/>
    <w:semiHidden/>
    <w:unhideWhenUsed/>
    <w:qFormat/>
    <w:rsid w:val="00AC56F7"/>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qFormat/>
    <w:rsid w:val="00075875"/>
    <w:pPr>
      <w:tabs>
        <w:tab w:val="left" w:pos="1860"/>
        <w:tab w:val="right" w:leader="dot" w:pos="9019"/>
      </w:tabs>
      <w:ind w:left="1843" w:hanging="1843"/>
    </w:pPr>
    <w:rPr>
      <w:rFonts w:ascii="Arial" w:hAnsi="Arial"/>
      <w:szCs w:val="20"/>
      <w:lang w:val="en-GB"/>
    </w:rPr>
  </w:style>
  <w:style w:type="character" w:styleId="FollowedHyperlink">
    <w:name w:val="FollowedHyperlink"/>
    <w:uiPriority w:val="99"/>
    <w:semiHidden/>
    <w:unhideWhenUsed/>
    <w:rsid w:val="00531657"/>
    <w:rPr>
      <w:color w:val="800080"/>
      <w:u w:val="single"/>
    </w:rPr>
  </w:style>
  <w:style w:type="paragraph" w:styleId="NormalWeb">
    <w:name w:val="Normal (Web)"/>
    <w:basedOn w:val="Normal"/>
    <w:uiPriority w:val="99"/>
    <w:unhideWhenUsed/>
    <w:rsid w:val="00B5747E"/>
    <w:pPr>
      <w:spacing w:before="100" w:beforeAutospacing="1" w:after="100" w:afterAutospacing="1"/>
    </w:pPr>
  </w:style>
  <w:style w:type="table" w:customStyle="1" w:styleId="TableGrid1">
    <w:name w:val="Table Grid1"/>
    <w:basedOn w:val="TableNormal"/>
    <w:next w:val="TableGrid"/>
    <w:uiPriority w:val="59"/>
    <w:rsid w:val="00D71B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1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337066"/>
    <w:rPr>
      <w:rFonts w:ascii="Cambria" w:eastAsia="Times New Roman" w:hAnsi="Cambria" w:cs="Times New Roman"/>
      <w:b/>
      <w:bCs/>
      <w:i/>
      <w:iCs/>
      <w:sz w:val="28"/>
      <w:szCs w:val="28"/>
      <w:lang w:val="en-GB"/>
    </w:rPr>
  </w:style>
  <w:style w:type="paragraph" w:customStyle="1" w:styleId="Default">
    <w:name w:val="Default"/>
    <w:rsid w:val="000F1E20"/>
    <w:pPr>
      <w:autoSpaceDE w:val="0"/>
      <w:autoSpaceDN w:val="0"/>
      <w:adjustRightInd w:val="0"/>
    </w:pPr>
    <w:rPr>
      <w:rFonts w:ascii="Warnock Pro" w:hAnsi="Warnock Pro" w:cs="Warnock Pro"/>
      <w:color w:val="000000"/>
      <w:sz w:val="24"/>
      <w:szCs w:val="24"/>
    </w:rPr>
  </w:style>
  <w:style w:type="paragraph" w:styleId="TOC2">
    <w:name w:val="toc 2"/>
    <w:basedOn w:val="Normal"/>
    <w:next w:val="Normal"/>
    <w:autoRedefine/>
    <w:uiPriority w:val="39"/>
    <w:unhideWhenUsed/>
    <w:qFormat/>
    <w:rsid w:val="00D15C44"/>
    <w:pPr>
      <w:tabs>
        <w:tab w:val="left" w:pos="1843"/>
        <w:tab w:val="right" w:leader="dot" w:pos="9019"/>
      </w:tabs>
      <w:ind w:left="240"/>
    </w:pPr>
  </w:style>
  <w:style w:type="paragraph" w:customStyle="1" w:styleId="CM129">
    <w:name w:val="CM129"/>
    <w:basedOn w:val="Default"/>
    <w:next w:val="Default"/>
    <w:uiPriority w:val="99"/>
    <w:rsid w:val="005E3D72"/>
    <w:rPr>
      <w:rFonts w:ascii="Arial" w:hAnsi="Arial" w:cs="Arial"/>
      <w:color w:val="auto"/>
    </w:rPr>
  </w:style>
  <w:style w:type="paragraph" w:customStyle="1" w:styleId="Pa7">
    <w:name w:val="Pa7"/>
    <w:basedOn w:val="Default"/>
    <w:next w:val="Default"/>
    <w:uiPriority w:val="99"/>
    <w:rsid w:val="00967E2F"/>
    <w:pPr>
      <w:spacing w:line="171" w:lineRule="atLeast"/>
    </w:pPr>
    <w:rPr>
      <w:rFonts w:ascii="Gotham Light" w:hAnsi="Gotham Light" w:cs="Times New Roman"/>
      <w:color w:val="auto"/>
    </w:rPr>
  </w:style>
  <w:style w:type="character" w:customStyle="1" w:styleId="Heading3Char">
    <w:name w:val="Heading 3 Char"/>
    <w:link w:val="Heading3"/>
    <w:uiPriority w:val="9"/>
    <w:rsid w:val="0022465D"/>
    <w:rPr>
      <w:rFonts w:ascii="Cambria" w:eastAsia="Times New Roman" w:hAnsi="Cambria" w:cs="Times New Roman"/>
      <w:b/>
      <w:bCs/>
      <w:sz w:val="26"/>
      <w:szCs w:val="26"/>
    </w:rPr>
  </w:style>
  <w:style w:type="paragraph" w:styleId="TOC3">
    <w:name w:val="toc 3"/>
    <w:basedOn w:val="Normal"/>
    <w:next w:val="Normal"/>
    <w:autoRedefine/>
    <w:uiPriority w:val="39"/>
    <w:unhideWhenUsed/>
    <w:qFormat/>
    <w:rsid w:val="009610BD"/>
    <w:pPr>
      <w:ind w:left="480"/>
    </w:pPr>
  </w:style>
  <w:style w:type="paragraph" w:styleId="EndnoteText">
    <w:name w:val="endnote text"/>
    <w:basedOn w:val="Normal"/>
    <w:link w:val="EndnoteTextChar"/>
    <w:uiPriority w:val="99"/>
    <w:semiHidden/>
    <w:unhideWhenUsed/>
    <w:rsid w:val="00593A10"/>
    <w:rPr>
      <w:sz w:val="20"/>
      <w:szCs w:val="20"/>
    </w:rPr>
  </w:style>
  <w:style w:type="character" w:customStyle="1" w:styleId="EndnoteTextChar">
    <w:name w:val="Endnote Text Char"/>
    <w:link w:val="EndnoteText"/>
    <w:uiPriority w:val="99"/>
    <w:semiHidden/>
    <w:rsid w:val="00593A10"/>
    <w:rPr>
      <w:rFonts w:cs="Calibri"/>
      <w:lang w:eastAsia="en-US"/>
    </w:rPr>
  </w:style>
  <w:style w:type="character" w:styleId="EndnoteReference">
    <w:name w:val="endnote reference"/>
    <w:uiPriority w:val="99"/>
    <w:semiHidden/>
    <w:unhideWhenUsed/>
    <w:rsid w:val="00593A10"/>
    <w:rPr>
      <w:vertAlign w:val="superscript"/>
    </w:rPr>
  </w:style>
  <w:style w:type="paragraph" w:customStyle="1" w:styleId="Pa18">
    <w:name w:val="Pa18"/>
    <w:basedOn w:val="Default"/>
    <w:next w:val="Default"/>
    <w:uiPriority w:val="99"/>
    <w:rsid w:val="00BE7D97"/>
    <w:pPr>
      <w:spacing w:line="191" w:lineRule="atLeast"/>
    </w:pPr>
    <w:rPr>
      <w:rFonts w:ascii="Times New Roman" w:hAnsi="Times New Roman" w:cs="Times New Roman"/>
      <w:color w:val="auto"/>
    </w:rPr>
  </w:style>
  <w:style w:type="character" w:customStyle="1" w:styleId="A7">
    <w:name w:val="A7"/>
    <w:uiPriority w:val="99"/>
    <w:rsid w:val="009B42BD"/>
    <w:rPr>
      <w:rFonts w:cs="Calibri"/>
      <w:color w:val="000000"/>
      <w:sz w:val="40"/>
      <w:szCs w:val="40"/>
    </w:rPr>
  </w:style>
  <w:style w:type="paragraph" w:customStyle="1" w:styleId="paragraph">
    <w:name w:val="paragraph"/>
    <w:aliases w:val="a"/>
    <w:basedOn w:val="Normal"/>
    <w:link w:val="paragraphChar"/>
    <w:rsid w:val="00D723AF"/>
    <w:pPr>
      <w:tabs>
        <w:tab w:val="right" w:pos="1531"/>
      </w:tabs>
      <w:spacing w:before="40"/>
      <w:ind w:left="1644" w:hanging="1644"/>
    </w:pPr>
    <w:rPr>
      <w:rFonts w:ascii="Times New Roman" w:eastAsia="Times New Roman" w:hAnsi="Times New Roman" w:cs="Times New Roman"/>
      <w:szCs w:val="20"/>
      <w:lang w:eastAsia="en-AU"/>
    </w:rPr>
  </w:style>
  <w:style w:type="paragraph" w:customStyle="1" w:styleId="Definition">
    <w:name w:val="Definition"/>
    <w:aliases w:val="dd"/>
    <w:basedOn w:val="Normal"/>
    <w:rsid w:val="00D723AF"/>
    <w:pPr>
      <w:spacing w:before="180"/>
      <w:ind w:left="1134"/>
    </w:pPr>
    <w:rPr>
      <w:rFonts w:ascii="Times New Roman" w:eastAsia="Times New Roman" w:hAnsi="Times New Roman" w:cs="Times New Roman"/>
      <w:szCs w:val="20"/>
      <w:lang w:eastAsia="en-AU"/>
    </w:rPr>
  </w:style>
  <w:style w:type="paragraph" w:customStyle="1" w:styleId="subsection2">
    <w:name w:val="subsection2"/>
    <w:aliases w:val="ss2"/>
    <w:basedOn w:val="Normal"/>
    <w:next w:val="Normal"/>
    <w:rsid w:val="00D723AF"/>
    <w:pPr>
      <w:spacing w:before="40"/>
      <w:ind w:left="1134"/>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D723AF"/>
    <w:rPr>
      <w:rFonts w:ascii="Times New Roman" w:eastAsia="Times New Roman" w:hAnsi="Times New Roman"/>
      <w:sz w:val="22"/>
    </w:rPr>
  </w:style>
  <w:style w:type="character" w:customStyle="1" w:styleId="Heading4Char">
    <w:name w:val="Heading 4 Char"/>
    <w:link w:val="Heading4"/>
    <w:uiPriority w:val="9"/>
    <w:semiHidden/>
    <w:rsid w:val="003F6BDC"/>
    <w:rPr>
      <w:rFonts w:ascii="Calibri" w:eastAsia="Times New Roman" w:hAnsi="Calibri" w:cs="Times New Roman"/>
      <w:b/>
      <w:bCs/>
      <w:sz w:val="28"/>
      <w:szCs w:val="28"/>
      <w:lang w:eastAsia="en-US"/>
    </w:rPr>
  </w:style>
  <w:style w:type="character" w:styleId="Strong">
    <w:name w:val="Strong"/>
    <w:uiPriority w:val="22"/>
    <w:qFormat/>
    <w:rsid w:val="00385B9C"/>
    <w:rPr>
      <w:b/>
      <w:bCs/>
    </w:rPr>
  </w:style>
  <w:style w:type="paragraph" w:styleId="Revision">
    <w:name w:val="Revision"/>
    <w:hidden/>
    <w:uiPriority w:val="99"/>
    <w:semiHidden/>
    <w:rsid w:val="003E3497"/>
    <w:rPr>
      <w:rFonts w:cs="Calibri"/>
      <w:sz w:val="22"/>
      <w:szCs w:val="22"/>
      <w:lang w:eastAsia="en-US"/>
    </w:rPr>
  </w:style>
  <w:style w:type="paragraph" w:styleId="TOC8">
    <w:name w:val="toc 8"/>
    <w:basedOn w:val="Normal"/>
    <w:next w:val="Normal"/>
    <w:uiPriority w:val="39"/>
    <w:rsid w:val="00057880"/>
    <w:pPr>
      <w:tabs>
        <w:tab w:val="right" w:leader="dot" w:pos="9016"/>
      </w:tabs>
      <w:spacing w:before="120" w:after="100" w:line="240" w:lineRule="atLeast"/>
      <w:ind w:left="2977"/>
    </w:pPr>
    <w:rPr>
      <w:rFonts w:ascii="Arial" w:hAnsi="Arial" w:cs="Times New Roman"/>
      <w:noProof/>
    </w:rPr>
  </w:style>
  <w:style w:type="paragraph" w:styleId="TOC9">
    <w:name w:val="toc 9"/>
    <w:basedOn w:val="Normal"/>
    <w:next w:val="Normal"/>
    <w:uiPriority w:val="39"/>
    <w:rsid w:val="00057880"/>
    <w:pPr>
      <w:tabs>
        <w:tab w:val="right" w:leader="dot" w:pos="9016"/>
      </w:tabs>
      <w:spacing w:before="120" w:after="100" w:line="240" w:lineRule="atLeast"/>
      <w:ind w:left="3402"/>
    </w:pPr>
    <w:rPr>
      <w:rFonts w:ascii="Arial" w:hAnsi="Arial" w:cs="Times New Roman"/>
      <w:noProof/>
    </w:rPr>
  </w:style>
  <w:style w:type="paragraph" w:styleId="TOC4">
    <w:name w:val="toc 4"/>
    <w:basedOn w:val="Normal"/>
    <w:next w:val="Normal"/>
    <w:uiPriority w:val="39"/>
    <w:rsid w:val="00057880"/>
    <w:pPr>
      <w:tabs>
        <w:tab w:val="right" w:leader="dot" w:pos="9016"/>
      </w:tabs>
      <w:spacing w:before="120" w:after="100" w:line="240" w:lineRule="atLeast"/>
      <w:ind w:left="1276"/>
    </w:pPr>
    <w:rPr>
      <w:rFonts w:ascii="Arial" w:hAnsi="Arial" w:cs="Times New Roman"/>
      <w:noProof/>
    </w:rPr>
  </w:style>
  <w:style w:type="paragraph" w:styleId="TOC5">
    <w:name w:val="toc 5"/>
    <w:basedOn w:val="Normal"/>
    <w:next w:val="Normal"/>
    <w:uiPriority w:val="39"/>
    <w:rsid w:val="00057880"/>
    <w:pPr>
      <w:tabs>
        <w:tab w:val="right" w:leader="dot" w:pos="9016"/>
      </w:tabs>
      <w:spacing w:before="120" w:after="100" w:line="240" w:lineRule="atLeast"/>
      <w:ind w:left="1701"/>
    </w:pPr>
    <w:rPr>
      <w:rFonts w:ascii="Arial" w:hAnsi="Arial" w:cs="Times New Roman"/>
      <w:noProof/>
    </w:rPr>
  </w:style>
  <w:style w:type="paragraph" w:styleId="TOC6">
    <w:name w:val="toc 6"/>
    <w:basedOn w:val="Normal"/>
    <w:next w:val="Normal"/>
    <w:uiPriority w:val="39"/>
    <w:rsid w:val="00057880"/>
    <w:pPr>
      <w:tabs>
        <w:tab w:val="right" w:leader="dot" w:pos="9016"/>
      </w:tabs>
      <w:spacing w:before="120" w:after="100" w:line="240" w:lineRule="atLeast"/>
      <w:ind w:left="2127"/>
    </w:pPr>
    <w:rPr>
      <w:rFonts w:ascii="Arial" w:hAnsi="Arial" w:cs="Times New Roman"/>
      <w:noProof/>
    </w:rPr>
  </w:style>
  <w:style w:type="paragraph" w:styleId="TOC7">
    <w:name w:val="toc 7"/>
    <w:basedOn w:val="Normal"/>
    <w:next w:val="Normal"/>
    <w:uiPriority w:val="39"/>
    <w:rsid w:val="00057880"/>
    <w:pPr>
      <w:tabs>
        <w:tab w:val="right" w:leader="dot" w:pos="9016"/>
      </w:tabs>
      <w:spacing w:before="120" w:after="100" w:line="240" w:lineRule="atLeast"/>
      <w:ind w:left="2552"/>
    </w:pPr>
    <w:rPr>
      <w:rFonts w:ascii="Arial" w:hAnsi="Arial" w:cs="Times New Roman"/>
      <w:noProof/>
    </w:rPr>
  </w:style>
  <w:style w:type="table" w:customStyle="1" w:styleId="LightGrid-Accent21">
    <w:name w:val="Light Grid - Accent 21"/>
    <w:basedOn w:val="TableNormal"/>
    <w:next w:val="LightGrid-Accent2"/>
    <w:uiPriority w:val="62"/>
    <w:rsid w:val="00B12B2A"/>
    <w:rPr>
      <w:rFonts w:ascii="Cambria" w:eastAsia="MS Mincho" w:hAnsi="Cambria"/>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auto"/>
    </w:tcPr>
    <w:tblStylePr w:type="firstRow">
      <w:pPr>
        <w:spacing w:before="0" w:after="0" w:line="240" w:lineRule="auto"/>
      </w:pPr>
      <w:rPr>
        <w:rFonts w:ascii="Calibri" w:eastAsia="MS Gothic" w:hAnsi="Calibri" w:cs="Times New Roman"/>
        <w:b/>
        <w:bCs/>
      </w:rPr>
      <w:tblPr/>
      <w:tcPr>
        <w:shd w:val="clear" w:color="auto" w:fill="CD0920"/>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2">
    <w:name w:val="Light Grid Accent 2"/>
    <w:basedOn w:val="TableNormal"/>
    <w:uiPriority w:val="62"/>
    <w:rsid w:val="00B12B2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2">
    <w:name w:val="Light Grid - Accent 22"/>
    <w:basedOn w:val="TableNormal"/>
    <w:next w:val="LightGrid-Accent2"/>
    <w:uiPriority w:val="62"/>
    <w:rsid w:val="00B12B2A"/>
    <w:rPr>
      <w:rFonts w:ascii="Cambria" w:eastAsia="MS Mincho" w:hAnsi="Cambria"/>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auto"/>
    </w:tcPr>
    <w:tblStylePr w:type="firstRow">
      <w:pPr>
        <w:spacing w:before="0" w:after="0" w:line="240" w:lineRule="auto"/>
      </w:pPr>
      <w:rPr>
        <w:rFonts w:ascii="Calibri" w:eastAsia="MS Gothic" w:hAnsi="Calibri" w:cs="Times New Roman"/>
        <w:b/>
        <w:bCs/>
      </w:rPr>
      <w:tblPr/>
      <w:tcPr>
        <w:shd w:val="clear" w:color="auto" w:fill="CD0920"/>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CCCtitle">
    <w:name w:val="ACCC title"/>
    <w:autoRedefine/>
    <w:rsid w:val="0052587E"/>
    <w:pPr>
      <w:spacing w:before="4200" w:after="240"/>
      <w:ind w:left="454" w:hanging="454"/>
      <w:contextualSpacing/>
      <w:jc w:val="center"/>
    </w:pPr>
    <w:rPr>
      <w:rFonts w:ascii="Arial" w:eastAsia="Times New Roman" w:hAnsi="Arial"/>
      <w:bCs/>
      <w:sz w:val="48"/>
    </w:rPr>
  </w:style>
  <w:style w:type="paragraph" w:styleId="Title">
    <w:name w:val="Title"/>
    <w:basedOn w:val="Normal"/>
    <w:next w:val="Normal"/>
    <w:link w:val="TitleChar"/>
    <w:uiPriority w:val="10"/>
    <w:qFormat/>
    <w:rsid w:val="00AD3F80"/>
    <w:pPr>
      <w:spacing w:before="720" w:after="120"/>
      <w:contextualSpacing/>
      <w:outlineLvl w:val="0"/>
    </w:pPr>
    <w:rPr>
      <w:rFonts w:ascii="Lucida Fax" w:eastAsia="Times New Roman" w:hAnsi="Lucida Fax" w:cs="Times New Roman"/>
      <w:color w:val="4F2D7D"/>
      <w:spacing w:val="5"/>
      <w:kern w:val="28"/>
      <w:sz w:val="72"/>
      <w:szCs w:val="52"/>
    </w:rPr>
  </w:style>
  <w:style w:type="character" w:customStyle="1" w:styleId="TitleChar">
    <w:name w:val="Title Char"/>
    <w:basedOn w:val="DefaultParagraphFont"/>
    <w:link w:val="Title"/>
    <w:uiPriority w:val="10"/>
    <w:rsid w:val="00AD3F80"/>
    <w:rPr>
      <w:rFonts w:ascii="Lucida Fax" w:eastAsia="Times New Roman" w:hAnsi="Lucida Fax"/>
      <w:color w:val="4F2D7D"/>
      <w:spacing w:val="5"/>
      <w:kern w:val="28"/>
      <w:sz w:val="72"/>
      <w:szCs w:val="52"/>
      <w:lang w:eastAsia="en-US"/>
    </w:rPr>
  </w:style>
  <w:style w:type="paragraph" w:styleId="Subtitle">
    <w:name w:val="Subtitle"/>
    <w:next w:val="Normal"/>
    <w:link w:val="SubtitleChar"/>
    <w:uiPriority w:val="11"/>
    <w:qFormat/>
    <w:rsid w:val="00AD3F80"/>
    <w:pPr>
      <w:spacing w:before="360" w:after="120"/>
    </w:pPr>
    <w:rPr>
      <w:rFonts w:ascii="Lucida Fax" w:eastAsia="Arial" w:hAnsi="Lucida Fax"/>
      <w:color w:val="4F2D7F"/>
      <w:sz w:val="52"/>
      <w:szCs w:val="52"/>
      <w:lang w:eastAsia="en-US"/>
    </w:rPr>
  </w:style>
  <w:style w:type="character" w:customStyle="1" w:styleId="SubtitleChar">
    <w:name w:val="Subtitle Char"/>
    <w:basedOn w:val="DefaultParagraphFont"/>
    <w:link w:val="Subtitle"/>
    <w:uiPriority w:val="11"/>
    <w:rsid w:val="00AD3F80"/>
    <w:rPr>
      <w:rFonts w:ascii="Lucida Fax" w:eastAsia="Arial" w:hAnsi="Lucida Fax"/>
      <w:color w:val="4F2D7F"/>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116">
      <w:bodyDiv w:val="1"/>
      <w:marLeft w:val="0"/>
      <w:marRight w:val="0"/>
      <w:marTop w:val="0"/>
      <w:marBottom w:val="0"/>
      <w:divBdr>
        <w:top w:val="none" w:sz="0" w:space="0" w:color="auto"/>
        <w:left w:val="none" w:sz="0" w:space="0" w:color="auto"/>
        <w:bottom w:val="none" w:sz="0" w:space="0" w:color="auto"/>
        <w:right w:val="none" w:sz="0" w:space="0" w:color="auto"/>
      </w:divBdr>
      <w:divsChild>
        <w:div w:id="1548102726">
          <w:marLeft w:val="0"/>
          <w:marRight w:val="0"/>
          <w:marTop w:val="0"/>
          <w:marBottom w:val="0"/>
          <w:divBdr>
            <w:top w:val="none" w:sz="0" w:space="0" w:color="auto"/>
            <w:left w:val="none" w:sz="0" w:space="0" w:color="auto"/>
            <w:bottom w:val="none" w:sz="0" w:space="0" w:color="auto"/>
            <w:right w:val="none" w:sz="0" w:space="0" w:color="auto"/>
          </w:divBdr>
          <w:divsChild>
            <w:div w:id="16978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0480">
      <w:bodyDiv w:val="1"/>
      <w:marLeft w:val="0"/>
      <w:marRight w:val="0"/>
      <w:marTop w:val="0"/>
      <w:marBottom w:val="0"/>
      <w:divBdr>
        <w:top w:val="none" w:sz="0" w:space="0" w:color="auto"/>
        <w:left w:val="none" w:sz="0" w:space="0" w:color="auto"/>
        <w:bottom w:val="none" w:sz="0" w:space="0" w:color="auto"/>
        <w:right w:val="none" w:sz="0" w:space="0" w:color="auto"/>
      </w:divBdr>
    </w:div>
    <w:div w:id="155653027">
      <w:bodyDiv w:val="1"/>
      <w:marLeft w:val="0"/>
      <w:marRight w:val="0"/>
      <w:marTop w:val="0"/>
      <w:marBottom w:val="0"/>
      <w:divBdr>
        <w:top w:val="none" w:sz="0" w:space="0" w:color="auto"/>
        <w:left w:val="none" w:sz="0" w:space="0" w:color="auto"/>
        <w:bottom w:val="none" w:sz="0" w:space="0" w:color="auto"/>
        <w:right w:val="none" w:sz="0" w:space="0" w:color="auto"/>
      </w:divBdr>
    </w:div>
    <w:div w:id="1708740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469">
          <w:marLeft w:val="0"/>
          <w:marRight w:val="0"/>
          <w:marTop w:val="0"/>
          <w:marBottom w:val="0"/>
          <w:divBdr>
            <w:top w:val="none" w:sz="0" w:space="0" w:color="auto"/>
            <w:left w:val="none" w:sz="0" w:space="0" w:color="auto"/>
            <w:bottom w:val="none" w:sz="0" w:space="0" w:color="auto"/>
            <w:right w:val="none" w:sz="0" w:space="0" w:color="auto"/>
          </w:divBdr>
          <w:divsChild>
            <w:div w:id="1183281960">
              <w:marLeft w:val="0"/>
              <w:marRight w:val="0"/>
              <w:marTop w:val="0"/>
              <w:marBottom w:val="750"/>
              <w:divBdr>
                <w:top w:val="none" w:sz="0" w:space="0" w:color="auto"/>
                <w:left w:val="none" w:sz="0" w:space="0" w:color="auto"/>
                <w:bottom w:val="none" w:sz="0" w:space="0" w:color="auto"/>
                <w:right w:val="none" w:sz="0" w:space="0" w:color="auto"/>
              </w:divBdr>
              <w:divsChild>
                <w:div w:id="842402365">
                  <w:marLeft w:val="-300"/>
                  <w:marRight w:val="0"/>
                  <w:marTop w:val="0"/>
                  <w:marBottom w:val="0"/>
                  <w:divBdr>
                    <w:top w:val="none" w:sz="0" w:space="0" w:color="auto"/>
                    <w:left w:val="none" w:sz="0" w:space="0" w:color="auto"/>
                    <w:bottom w:val="none" w:sz="0" w:space="0" w:color="auto"/>
                    <w:right w:val="none" w:sz="0" w:space="0" w:color="auto"/>
                  </w:divBdr>
                  <w:divsChild>
                    <w:div w:id="233320726">
                      <w:marLeft w:val="0"/>
                      <w:marRight w:val="0"/>
                      <w:marTop w:val="0"/>
                      <w:marBottom w:val="450"/>
                      <w:divBdr>
                        <w:top w:val="none" w:sz="0" w:space="0" w:color="auto"/>
                        <w:left w:val="none" w:sz="0" w:space="0" w:color="auto"/>
                        <w:bottom w:val="none" w:sz="0" w:space="0" w:color="auto"/>
                        <w:right w:val="none" w:sz="0" w:space="0" w:color="auto"/>
                      </w:divBdr>
                      <w:divsChild>
                        <w:div w:id="8114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07402">
      <w:bodyDiv w:val="1"/>
      <w:marLeft w:val="0"/>
      <w:marRight w:val="0"/>
      <w:marTop w:val="0"/>
      <w:marBottom w:val="0"/>
      <w:divBdr>
        <w:top w:val="none" w:sz="0" w:space="0" w:color="auto"/>
        <w:left w:val="none" w:sz="0" w:space="0" w:color="auto"/>
        <w:bottom w:val="none" w:sz="0" w:space="0" w:color="auto"/>
        <w:right w:val="none" w:sz="0" w:space="0" w:color="auto"/>
      </w:divBdr>
    </w:div>
    <w:div w:id="223639820">
      <w:bodyDiv w:val="1"/>
      <w:marLeft w:val="0"/>
      <w:marRight w:val="0"/>
      <w:marTop w:val="0"/>
      <w:marBottom w:val="0"/>
      <w:divBdr>
        <w:top w:val="none" w:sz="0" w:space="0" w:color="auto"/>
        <w:left w:val="none" w:sz="0" w:space="0" w:color="auto"/>
        <w:bottom w:val="none" w:sz="0" w:space="0" w:color="auto"/>
        <w:right w:val="none" w:sz="0" w:space="0" w:color="auto"/>
      </w:divBdr>
    </w:div>
    <w:div w:id="253518090">
      <w:bodyDiv w:val="1"/>
      <w:marLeft w:val="0"/>
      <w:marRight w:val="0"/>
      <w:marTop w:val="0"/>
      <w:marBottom w:val="0"/>
      <w:divBdr>
        <w:top w:val="none" w:sz="0" w:space="0" w:color="auto"/>
        <w:left w:val="none" w:sz="0" w:space="0" w:color="auto"/>
        <w:bottom w:val="none" w:sz="0" w:space="0" w:color="auto"/>
        <w:right w:val="none" w:sz="0" w:space="0" w:color="auto"/>
      </w:divBdr>
    </w:div>
    <w:div w:id="264771207">
      <w:bodyDiv w:val="1"/>
      <w:marLeft w:val="0"/>
      <w:marRight w:val="0"/>
      <w:marTop w:val="0"/>
      <w:marBottom w:val="0"/>
      <w:divBdr>
        <w:top w:val="none" w:sz="0" w:space="0" w:color="auto"/>
        <w:left w:val="none" w:sz="0" w:space="0" w:color="auto"/>
        <w:bottom w:val="none" w:sz="0" w:space="0" w:color="auto"/>
        <w:right w:val="none" w:sz="0" w:space="0" w:color="auto"/>
      </w:divBdr>
    </w:div>
    <w:div w:id="287975278">
      <w:bodyDiv w:val="1"/>
      <w:marLeft w:val="0"/>
      <w:marRight w:val="0"/>
      <w:marTop w:val="0"/>
      <w:marBottom w:val="0"/>
      <w:divBdr>
        <w:top w:val="none" w:sz="0" w:space="0" w:color="auto"/>
        <w:left w:val="none" w:sz="0" w:space="0" w:color="auto"/>
        <w:bottom w:val="none" w:sz="0" w:space="0" w:color="auto"/>
        <w:right w:val="none" w:sz="0" w:space="0" w:color="auto"/>
      </w:divBdr>
    </w:div>
    <w:div w:id="369915868">
      <w:bodyDiv w:val="1"/>
      <w:marLeft w:val="0"/>
      <w:marRight w:val="0"/>
      <w:marTop w:val="0"/>
      <w:marBottom w:val="0"/>
      <w:divBdr>
        <w:top w:val="none" w:sz="0" w:space="0" w:color="auto"/>
        <w:left w:val="none" w:sz="0" w:space="0" w:color="auto"/>
        <w:bottom w:val="none" w:sz="0" w:space="0" w:color="auto"/>
        <w:right w:val="none" w:sz="0" w:space="0" w:color="auto"/>
      </w:divBdr>
      <w:divsChild>
        <w:div w:id="776633800">
          <w:marLeft w:val="0"/>
          <w:marRight w:val="0"/>
          <w:marTop w:val="0"/>
          <w:marBottom w:val="0"/>
          <w:divBdr>
            <w:top w:val="none" w:sz="0" w:space="0" w:color="auto"/>
            <w:left w:val="none" w:sz="0" w:space="0" w:color="auto"/>
            <w:bottom w:val="none" w:sz="0" w:space="0" w:color="auto"/>
            <w:right w:val="none" w:sz="0" w:space="0" w:color="auto"/>
          </w:divBdr>
          <w:divsChild>
            <w:div w:id="140536861">
              <w:marLeft w:val="0"/>
              <w:marRight w:val="0"/>
              <w:marTop w:val="0"/>
              <w:marBottom w:val="0"/>
              <w:divBdr>
                <w:top w:val="none" w:sz="0" w:space="0" w:color="auto"/>
                <w:left w:val="none" w:sz="0" w:space="0" w:color="auto"/>
                <w:bottom w:val="none" w:sz="0" w:space="0" w:color="auto"/>
                <w:right w:val="none" w:sz="0" w:space="0" w:color="auto"/>
              </w:divBdr>
              <w:divsChild>
                <w:div w:id="1809010383">
                  <w:marLeft w:val="2970"/>
                  <w:marRight w:val="0"/>
                  <w:marTop w:val="0"/>
                  <w:marBottom w:val="0"/>
                  <w:divBdr>
                    <w:top w:val="none" w:sz="0" w:space="0" w:color="auto"/>
                    <w:left w:val="none" w:sz="0" w:space="0" w:color="auto"/>
                    <w:bottom w:val="none" w:sz="0" w:space="0" w:color="auto"/>
                    <w:right w:val="none" w:sz="0" w:space="0" w:color="auto"/>
                  </w:divBdr>
                  <w:divsChild>
                    <w:div w:id="125051899">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05835">
      <w:bodyDiv w:val="1"/>
      <w:marLeft w:val="0"/>
      <w:marRight w:val="0"/>
      <w:marTop w:val="0"/>
      <w:marBottom w:val="0"/>
      <w:divBdr>
        <w:top w:val="none" w:sz="0" w:space="0" w:color="auto"/>
        <w:left w:val="none" w:sz="0" w:space="0" w:color="auto"/>
        <w:bottom w:val="none" w:sz="0" w:space="0" w:color="auto"/>
        <w:right w:val="none" w:sz="0" w:space="0" w:color="auto"/>
      </w:divBdr>
      <w:divsChild>
        <w:div w:id="1589146432">
          <w:marLeft w:val="0"/>
          <w:marRight w:val="0"/>
          <w:marTop w:val="0"/>
          <w:marBottom w:val="0"/>
          <w:divBdr>
            <w:top w:val="none" w:sz="0" w:space="0" w:color="auto"/>
            <w:left w:val="none" w:sz="0" w:space="0" w:color="auto"/>
            <w:bottom w:val="none" w:sz="0" w:space="0" w:color="auto"/>
            <w:right w:val="none" w:sz="0" w:space="0" w:color="auto"/>
          </w:divBdr>
          <w:divsChild>
            <w:div w:id="1835030543">
              <w:marLeft w:val="0"/>
              <w:marRight w:val="0"/>
              <w:marTop w:val="0"/>
              <w:marBottom w:val="0"/>
              <w:divBdr>
                <w:top w:val="none" w:sz="0" w:space="0" w:color="auto"/>
                <w:left w:val="none" w:sz="0" w:space="0" w:color="auto"/>
                <w:bottom w:val="none" w:sz="0" w:space="0" w:color="auto"/>
                <w:right w:val="none" w:sz="0" w:space="0" w:color="auto"/>
              </w:divBdr>
              <w:divsChild>
                <w:div w:id="611982728">
                  <w:marLeft w:val="0"/>
                  <w:marRight w:val="0"/>
                  <w:marTop w:val="0"/>
                  <w:marBottom w:val="0"/>
                  <w:divBdr>
                    <w:top w:val="none" w:sz="0" w:space="0" w:color="auto"/>
                    <w:left w:val="none" w:sz="0" w:space="0" w:color="auto"/>
                    <w:bottom w:val="none" w:sz="0" w:space="0" w:color="auto"/>
                    <w:right w:val="none" w:sz="0" w:space="0" w:color="auto"/>
                  </w:divBdr>
                  <w:divsChild>
                    <w:div w:id="17348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33678">
      <w:bodyDiv w:val="1"/>
      <w:marLeft w:val="0"/>
      <w:marRight w:val="0"/>
      <w:marTop w:val="0"/>
      <w:marBottom w:val="0"/>
      <w:divBdr>
        <w:top w:val="none" w:sz="0" w:space="0" w:color="auto"/>
        <w:left w:val="none" w:sz="0" w:space="0" w:color="auto"/>
        <w:bottom w:val="none" w:sz="0" w:space="0" w:color="auto"/>
        <w:right w:val="none" w:sz="0" w:space="0" w:color="auto"/>
      </w:divBdr>
    </w:div>
    <w:div w:id="486240489">
      <w:bodyDiv w:val="1"/>
      <w:marLeft w:val="0"/>
      <w:marRight w:val="0"/>
      <w:marTop w:val="0"/>
      <w:marBottom w:val="0"/>
      <w:divBdr>
        <w:top w:val="none" w:sz="0" w:space="0" w:color="auto"/>
        <w:left w:val="none" w:sz="0" w:space="0" w:color="auto"/>
        <w:bottom w:val="none" w:sz="0" w:space="0" w:color="auto"/>
        <w:right w:val="none" w:sz="0" w:space="0" w:color="auto"/>
      </w:divBdr>
    </w:div>
    <w:div w:id="486678122">
      <w:bodyDiv w:val="1"/>
      <w:marLeft w:val="0"/>
      <w:marRight w:val="0"/>
      <w:marTop w:val="0"/>
      <w:marBottom w:val="0"/>
      <w:divBdr>
        <w:top w:val="none" w:sz="0" w:space="0" w:color="auto"/>
        <w:left w:val="none" w:sz="0" w:space="0" w:color="auto"/>
        <w:bottom w:val="none" w:sz="0" w:space="0" w:color="auto"/>
        <w:right w:val="none" w:sz="0" w:space="0" w:color="auto"/>
      </w:divBdr>
    </w:div>
    <w:div w:id="497579937">
      <w:bodyDiv w:val="1"/>
      <w:marLeft w:val="0"/>
      <w:marRight w:val="0"/>
      <w:marTop w:val="0"/>
      <w:marBottom w:val="0"/>
      <w:divBdr>
        <w:top w:val="none" w:sz="0" w:space="0" w:color="auto"/>
        <w:left w:val="none" w:sz="0" w:space="0" w:color="auto"/>
        <w:bottom w:val="none" w:sz="0" w:space="0" w:color="auto"/>
        <w:right w:val="none" w:sz="0" w:space="0" w:color="auto"/>
      </w:divBdr>
    </w:div>
    <w:div w:id="535393732">
      <w:bodyDiv w:val="1"/>
      <w:marLeft w:val="0"/>
      <w:marRight w:val="0"/>
      <w:marTop w:val="0"/>
      <w:marBottom w:val="0"/>
      <w:divBdr>
        <w:top w:val="none" w:sz="0" w:space="0" w:color="auto"/>
        <w:left w:val="none" w:sz="0" w:space="0" w:color="auto"/>
        <w:bottom w:val="none" w:sz="0" w:space="0" w:color="auto"/>
        <w:right w:val="none" w:sz="0" w:space="0" w:color="auto"/>
      </w:divBdr>
      <w:divsChild>
        <w:div w:id="1471557072">
          <w:marLeft w:val="0"/>
          <w:marRight w:val="0"/>
          <w:marTop w:val="100"/>
          <w:marBottom w:val="100"/>
          <w:divBdr>
            <w:top w:val="none" w:sz="0" w:space="0" w:color="auto"/>
            <w:left w:val="none" w:sz="0" w:space="0" w:color="auto"/>
            <w:bottom w:val="none" w:sz="0" w:space="0" w:color="auto"/>
            <w:right w:val="none" w:sz="0" w:space="0" w:color="auto"/>
          </w:divBdr>
          <w:divsChild>
            <w:div w:id="1334337805">
              <w:marLeft w:val="0"/>
              <w:marRight w:val="0"/>
              <w:marTop w:val="0"/>
              <w:marBottom w:val="0"/>
              <w:divBdr>
                <w:top w:val="none" w:sz="0" w:space="0" w:color="auto"/>
                <w:left w:val="none" w:sz="0" w:space="0" w:color="auto"/>
                <w:bottom w:val="none" w:sz="0" w:space="0" w:color="auto"/>
                <w:right w:val="none" w:sz="0" w:space="0" w:color="auto"/>
              </w:divBdr>
              <w:divsChild>
                <w:div w:id="1901548558">
                  <w:marLeft w:val="0"/>
                  <w:marRight w:val="0"/>
                  <w:marTop w:val="0"/>
                  <w:marBottom w:val="0"/>
                  <w:divBdr>
                    <w:top w:val="none" w:sz="0" w:space="0" w:color="auto"/>
                    <w:left w:val="none" w:sz="0" w:space="0" w:color="auto"/>
                    <w:bottom w:val="none" w:sz="0" w:space="0" w:color="auto"/>
                    <w:right w:val="none" w:sz="0" w:space="0" w:color="auto"/>
                  </w:divBdr>
                  <w:divsChild>
                    <w:div w:id="1166095413">
                      <w:marLeft w:val="0"/>
                      <w:marRight w:val="0"/>
                      <w:marTop w:val="0"/>
                      <w:marBottom w:val="0"/>
                      <w:divBdr>
                        <w:top w:val="none" w:sz="0" w:space="0" w:color="auto"/>
                        <w:left w:val="none" w:sz="0" w:space="0" w:color="auto"/>
                        <w:bottom w:val="none" w:sz="0" w:space="0" w:color="auto"/>
                        <w:right w:val="none" w:sz="0" w:space="0" w:color="auto"/>
                      </w:divBdr>
                      <w:divsChild>
                        <w:div w:id="1236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818623">
      <w:bodyDiv w:val="1"/>
      <w:marLeft w:val="0"/>
      <w:marRight w:val="0"/>
      <w:marTop w:val="0"/>
      <w:marBottom w:val="0"/>
      <w:divBdr>
        <w:top w:val="none" w:sz="0" w:space="0" w:color="auto"/>
        <w:left w:val="none" w:sz="0" w:space="0" w:color="auto"/>
        <w:bottom w:val="none" w:sz="0" w:space="0" w:color="auto"/>
        <w:right w:val="none" w:sz="0" w:space="0" w:color="auto"/>
      </w:divBdr>
    </w:div>
    <w:div w:id="595790831">
      <w:bodyDiv w:val="1"/>
      <w:marLeft w:val="0"/>
      <w:marRight w:val="0"/>
      <w:marTop w:val="0"/>
      <w:marBottom w:val="0"/>
      <w:divBdr>
        <w:top w:val="none" w:sz="0" w:space="0" w:color="auto"/>
        <w:left w:val="none" w:sz="0" w:space="0" w:color="auto"/>
        <w:bottom w:val="none" w:sz="0" w:space="0" w:color="auto"/>
        <w:right w:val="none" w:sz="0" w:space="0" w:color="auto"/>
      </w:divBdr>
    </w:div>
    <w:div w:id="704673014">
      <w:bodyDiv w:val="1"/>
      <w:marLeft w:val="0"/>
      <w:marRight w:val="0"/>
      <w:marTop w:val="0"/>
      <w:marBottom w:val="0"/>
      <w:divBdr>
        <w:top w:val="none" w:sz="0" w:space="0" w:color="auto"/>
        <w:left w:val="none" w:sz="0" w:space="0" w:color="auto"/>
        <w:bottom w:val="none" w:sz="0" w:space="0" w:color="auto"/>
        <w:right w:val="none" w:sz="0" w:space="0" w:color="auto"/>
      </w:divBdr>
    </w:div>
    <w:div w:id="742994059">
      <w:bodyDiv w:val="1"/>
      <w:marLeft w:val="0"/>
      <w:marRight w:val="0"/>
      <w:marTop w:val="0"/>
      <w:marBottom w:val="0"/>
      <w:divBdr>
        <w:top w:val="none" w:sz="0" w:space="0" w:color="auto"/>
        <w:left w:val="none" w:sz="0" w:space="0" w:color="auto"/>
        <w:bottom w:val="none" w:sz="0" w:space="0" w:color="auto"/>
        <w:right w:val="none" w:sz="0" w:space="0" w:color="auto"/>
      </w:divBdr>
    </w:div>
    <w:div w:id="816190608">
      <w:bodyDiv w:val="1"/>
      <w:marLeft w:val="0"/>
      <w:marRight w:val="0"/>
      <w:marTop w:val="0"/>
      <w:marBottom w:val="0"/>
      <w:divBdr>
        <w:top w:val="none" w:sz="0" w:space="0" w:color="auto"/>
        <w:left w:val="none" w:sz="0" w:space="0" w:color="auto"/>
        <w:bottom w:val="none" w:sz="0" w:space="0" w:color="auto"/>
        <w:right w:val="none" w:sz="0" w:space="0" w:color="auto"/>
      </w:divBdr>
    </w:div>
    <w:div w:id="858272309">
      <w:bodyDiv w:val="1"/>
      <w:marLeft w:val="0"/>
      <w:marRight w:val="0"/>
      <w:marTop w:val="0"/>
      <w:marBottom w:val="0"/>
      <w:divBdr>
        <w:top w:val="none" w:sz="0" w:space="0" w:color="auto"/>
        <w:left w:val="none" w:sz="0" w:space="0" w:color="auto"/>
        <w:bottom w:val="none" w:sz="0" w:space="0" w:color="auto"/>
        <w:right w:val="none" w:sz="0" w:space="0" w:color="auto"/>
      </w:divBdr>
    </w:div>
    <w:div w:id="876623595">
      <w:bodyDiv w:val="1"/>
      <w:marLeft w:val="0"/>
      <w:marRight w:val="0"/>
      <w:marTop w:val="0"/>
      <w:marBottom w:val="0"/>
      <w:divBdr>
        <w:top w:val="none" w:sz="0" w:space="0" w:color="auto"/>
        <w:left w:val="none" w:sz="0" w:space="0" w:color="auto"/>
        <w:bottom w:val="none" w:sz="0" w:space="0" w:color="auto"/>
        <w:right w:val="none" w:sz="0" w:space="0" w:color="auto"/>
      </w:divBdr>
    </w:div>
    <w:div w:id="883567484">
      <w:bodyDiv w:val="1"/>
      <w:marLeft w:val="0"/>
      <w:marRight w:val="0"/>
      <w:marTop w:val="0"/>
      <w:marBottom w:val="0"/>
      <w:divBdr>
        <w:top w:val="none" w:sz="0" w:space="0" w:color="auto"/>
        <w:left w:val="none" w:sz="0" w:space="0" w:color="auto"/>
        <w:bottom w:val="none" w:sz="0" w:space="0" w:color="auto"/>
        <w:right w:val="none" w:sz="0" w:space="0" w:color="auto"/>
      </w:divBdr>
    </w:div>
    <w:div w:id="921530484">
      <w:bodyDiv w:val="1"/>
      <w:marLeft w:val="0"/>
      <w:marRight w:val="0"/>
      <w:marTop w:val="0"/>
      <w:marBottom w:val="0"/>
      <w:divBdr>
        <w:top w:val="none" w:sz="0" w:space="0" w:color="auto"/>
        <w:left w:val="none" w:sz="0" w:space="0" w:color="auto"/>
        <w:bottom w:val="none" w:sz="0" w:space="0" w:color="auto"/>
        <w:right w:val="none" w:sz="0" w:space="0" w:color="auto"/>
      </w:divBdr>
    </w:div>
    <w:div w:id="926501102">
      <w:bodyDiv w:val="1"/>
      <w:marLeft w:val="0"/>
      <w:marRight w:val="0"/>
      <w:marTop w:val="0"/>
      <w:marBottom w:val="0"/>
      <w:divBdr>
        <w:top w:val="none" w:sz="0" w:space="0" w:color="auto"/>
        <w:left w:val="none" w:sz="0" w:space="0" w:color="auto"/>
        <w:bottom w:val="none" w:sz="0" w:space="0" w:color="auto"/>
        <w:right w:val="none" w:sz="0" w:space="0" w:color="auto"/>
      </w:divBdr>
    </w:div>
    <w:div w:id="949896122">
      <w:bodyDiv w:val="1"/>
      <w:marLeft w:val="0"/>
      <w:marRight w:val="0"/>
      <w:marTop w:val="0"/>
      <w:marBottom w:val="0"/>
      <w:divBdr>
        <w:top w:val="none" w:sz="0" w:space="0" w:color="auto"/>
        <w:left w:val="none" w:sz="0" w:space="0" w:color="auto"/>
        <w:bottom w:val="none" w:sz="0" w:space="0" w:color="auto"/>
        <w:right w:val="none" w:sz="0" w:space="0" w:color="auto"/>
      </w:divBdr>
    </w:div>
    <w:div w:id="965817612">
      <w:bodyDiv w:val="1"/>
      <w:marLeft w:val="0"/>
      <w:marRight w:val="0"/>
      <w:marTop w:val="0"/>
      <w:marBottom w:val="0"/>
      <w:divBdr>
        <w:top w:val="none" w:sz="0" w:space="0" w:color="auto"/>
        <w:left w:val="none" w:sz="0" w:space="0" w:color="auto"/>
        <w:bottom w:val="none" w:sz="0" w:space="0" w:color="auto"/>
        <w:right w:val="none" w:sz="0" w:space="0" w:color="auto"/>
      </w:divBdr>
    </w:div>
    <w:div w:id="1012728735">
      <w:bodyDiv w:val="1"/>
      <w:marLeft w:val="0"/>
      <w:marRight w:val="0"/>
      <w:marTop w:val="0"/>
      <w:marBottom w:val="0"/>
      <w:divBdr>
        <w:top w:val="none" w:sz="0" w:space="0" w:color="auto"/>
        <w:left w:val="none" w:sz="0" w:space="0" w:color="auto"/>
        <w:bottom w:val="none" w:sz="0" w:space="0" w:color="auto"/>
        <w:right w:val="none" w:sz="0" w:space="0" w:color="auto"/>
      </w:divBdr>
    </w:div>
    <w:div w:id="1071464108">
      <w:bodyDiv w:val="1"/>
      <w:marLeft w:val="0"/>
      <w:marRight w:val="0"/>
      <w:marTop w:val="0"/>
      <w:marBottom w:val="0"/>
      <w:divBdr>
        <w:top w:val="none" w:sz="0" w:space="0" w:color="auto"/>
        <w:left w:val="none" w:sz="0" w:space="0" w:color="auto"/>
        <w:bottom w:val="none" w:sz="0" w:space="0" w:color="auto"/>
        <w:right w:val="none" w:sz="0" w:space="0" w:color="auto"/>
      </w:divBdr>
    </w:div>
    <w:div w:id="1081948765">
      <w:bodyDiv w:val="1"/>
      <w:marLeft w:val="0"/>
      <w:marRight w:val="0"/>
      <w:marTop w:val="0"/>
      <w:marBottom w:val="0"/>
      <w:divBdr>
        <w:top w:val="none" w:sz="0" w:space="0" w:color="auto"/>
        <w:left w:val="none" w:sz="0" w:space="0" w:color="auto"/>
        <w:bottom w:val="none" w:sz="0" w:space="0" w:color="auto"/>
        <w:right w:val="none" w:sz="0" w:space="0" w:color="auto"/>
      </w:divBdr>
    </w:div>
    <w:div w:id="1098521408">
      <w:bodyDiv w:val="1"/>
      <w:marLeft w:val="0"/>
      <w:marRight w:val="0"/>
      <w:marTop w:val="0"/>
      <w:marBottom w:val="0"/>
      <w:divBdr>
        <w:top w:val="none" w:sz="0" w:space="0" w:color="auto"/>
        <w:left w:val="none" w:sz="0" w:space="0" w:color="auto"/>
        <w:bottom w:val="none" w:sz="0" w:space="0" w:color="auto"/>
        <w:right w:val="none" w:sz="0" w:space="0" w:color="auto"/>
      </w:divBdr>
      <w:divsChild>
        <w:div w:id="1907912160">
          <w:marLeft w:val="0"/>
          <w:marRight w:val="0"/>
          <w:marTop w:val="0"/>
          <w:marBottom w:val="0"/>
          <w:divBdr>
            <w:top w:val="none" w:sz="0" w:space="0" w:color="auto"/>
            <w:left w:val="none" w:sz="0" w:space="0" w:color="auto"/>
            <w:bottom w:val="none" w:sz="0" w:space="0" w:color="auto"/>
            <w:right w:val="none" w:sz="0" w:space="0" w:color="auto"/>
          </w:divBdr>
          <w:divsChild>
            <w:div w:id="2121995435">
              <w:marLeft w:val="0"/>
              <w:marRight w:val="0"/>
              <w:marTop w:val="0"/>
              <w:marBottom w:val="0"/>
              <w:divBdr>
                <w:top w:val="none" w:sz="0" w:space="0" w:color="auto"/>
                <w:left w:val="none" w:sz="0" w:space="0" w:color="auto"/>
                <w:bottom w:val="none" w:sz="0" w:space="0" w:color="auto"/>
                <w:right w:val="none" w:sz="0" w:space="0" w:color="auto"/>
              </w:divBdr>
              <w:divsChild>
                <w:div w:id="843057176">
                  <w:marLeft w:val="0"/>
                  <w:marRight w:val="0"/>
                  <w:marTop w:val="0"/>
                  <w:marBottom w:val="0"/>
                  <w:divBdr>
                    <w:top w:val="none" w:sz="0" w:space="0" w:color="auto"/>
                    <w:left w:val="none" w:sz="0" w:space="0" w:color="auto"/>
                    <w:bottom w:val="none" w:sz="0" w:space="0" w:color="auto"/>
                    <w:right w:val="none" w:sz="0" w:space="0" w:color="auto"/>
                  </w:divBdr>
                  <w:divsChild>
                    <w:div w:id="1712264495">
                      <w:marLeft w:val="0"/>
                      <w:marRight w:val="0"/>
                      <w:marTop w:val="0"/>
                      <w:marBottom w:val="0"/>
                      <w:divBdr>
                        <w:top w:val="none" w:sz="0" w:space="0" w:color="auto"/>
                        <w:left w:val="none" w:sz="0" w:space="0" w:color="auto"/>
                        <w:bottom w:val="none" w:sz="0" w:space="0" w:color="auto"/>
                        <w:right w:val="none" w:sz="0" w:space="0" w:color="auto"/>
                      </w:divBdr>
                      <w:divsChild>
                        <w:div w:id="593133049">
                          <w:marLeft w:val="0"/>
                          <w:marRight w:val="0"/>
                          <w:marTop w:val="0"/>
                          <w:marBottom w:val="0"/>
                          <w:divBdr>
                            <w:top w:val="none" w:sz="0" w:space="0" w:color="auto"/>
                            <w:left w:val="none" w:sz="0" w:space="0" w:color="auto"/>
                            <w:bottom w:val="none" w:sz="0" w:space="0" w:color="auto"/>
                            <w:right w:val="none" w:sz="0" w:space="0" w:color="auto"/>
                          </w:divBdr>
                          <w:divsChild>
                            <w:div w:id="1626230317">
                              <w:marLeft w:val="0"/>
                              <w:marRight w:val="0"/>
                              <w:marTop w:val="0"/>
                              <w:marBottom w:val="150"/>
                              <w:divBdr>
                                <w:top w:val="single" w:sz="6" w:space="15" w:color="E6E4E4"/>
                                <w:left w:val="single" w:sz="6" w:space="12" w:color="E6E4E4"/>
                                <w:bottom w:val="single" w:sz="6" w:space="12" w:color="E6E4E4"/>
                                <w:right w:val="none" w:sz="0" w:space="0" w:color="auto"/>
                              </w:divBdr>
                              <w:divsChild>
                                <w:div w:id="72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657560">
      <w:bodyDiv w:val="1"/>
      <w:marLeft w:val="0"/>
      <w:marRight w:val="0"/>
      <w:marTop w:val="0"/>
      <w:marBottom w:val="0"/>
      <w:divBdr>
        <w:top w:val="none" w:sz="0" w:space="0" w:color="auto"/>
        <w:left w:val="none" w:sz="0" w:space="0" w:color="auto"/>
        <w:bottom w:val="none" w:sz="0" w:space="0" w:color="auto"/>
        <w:right w:val="none" w:sz="0" w:space="0" w:color="auto"/>
      </w:divBdr>
    </w:div>
    <w:div w:id="1151824159">
      <w:bodyDiv w:val="1"/>
      <w:marLeft w:val="0"/>
      <w:marRight w:val="0"/>
      <w:marTop w:val="0"/>
      <w:marBottom w:val="0"/>
      <w:divBdr>
        <w:top w:val="none" w:sz="0" w:space="0" w:color="auto"/>
        <w:left w:val="none" w:sz="0" w:space="0" w:color="auto"/>
        <w:bottom w:val="none" w:sz="0" w:space="0" w:color="auto"/>
        <w:right w:val="none" w:sz="0" w:space="0" w:color="auto"/>
      </w:divBdr>
      <w:divsChild>
        <w:div w:id="2010480369">
          <w:marLeft w:val="0"/>
          <w:marRight w:val="0"/>
          <w:marTop w:val="0"/>
          <w:marBottom w:val="0"/>
          <w:divBdr>
            <w:top w:val="none" w:sz="0" w:space="0" w:color="auto"/>
            <w:left w:val="none" w:sz="0" w:space="0" w:color="auto"/>
            <w:bottom w:val="none" w:sz="0" w:space="0" w:color="auto"/>
            <w:right w:val="none" w:sz="0" w:space="0" w:color="auto"/>
          </w:divBdr>
          <w:divsChild>
            <w:div w:id="186063927">
              <w:marLeft w:val="0"/>
              <w:marRight w:val="0"/>
              <w:marTop w:val="0"/>
              <w:marBottom w:val="0"/>
              <w:divBdr>
                <w:top w:val="none" w:sz="0" w:space="0" w:color="auto"/>
                <w:left w:val="none" w:sz="0" w:space="0" w:color="auto"/>
                <w:bottom w:val="none" w:sz="0" w:space="0" w:color="auto"/>
                <w:right w:val="none" w:sz="0" w:space="0" w:color="auto"/>
              </w:divBdr>
              <w:divsChild>
                <w:div w:id="1213226981">
                  <w:marLeft w:val="0"/>
                  <w:marRight w:val="0"/>
                  <w:marTop w:val="0"/>
                  <w:marBottom w:val="0"/>
                  <w:divBdr>
                    <w:top w:val="none" w:sz="0" w:space="0" w:color="auto"/>
                    <w:left w:val="none" w:sz="0" w:space="0" w:color="auto"/>
                    <w:bottom w:val="none" w:sz="0" w:space="0" w:color="auto"/>
                    <w:right w:val="none" w:sz="0" w:space="0" w:color="auto"/>
                  </w:divBdr>
                  <w:divsChild>
                    <w:div w:id="1133599028">
                      <w:marLeft w:val="0"/>
                      <w:marRight w:val="0"/>
                      <w:marTop w:val="0"/>
                      <w:marBottom w:val="0"/>
                      <w:divBdr>
                        <w:top w:val="none" w:sz="0" w:space="0" w:color="auto"/>
                        <w:left w:val="none" w:sz="0" w:space="0" w:color="auto"/>
                        <w:bottom w:val="none" w:sz="0" w:space="0" w:color="auto"/>
                        <w:right w:val="none" w:sz="0" w:space="0" w:color="auto"/>
                      </w:divBdr>
                      <w:divsChild>
                        <w:div w:id="106782575">
                          <w:marLeft w:val="0"/>
                          <w:marRight w:val="0"/>
                          <w:marTop w:val="0"/>
                          <w:marBottom w:val="0"/>
                          <w:divBdr>
                            <w:top w:val="none" w:sz="0" w:space="0" w:color="auto"/>
                            <w:left w:val="none" w:sz="0" w:space="0" w:color="auto"/>
                            <w:bottom w:val="none" w:sz="0" w:space="0" w:color="auto"/>
                            <w:right w:val="none" w:sz="0" w:space="0" w:color="auto"/>
                          </w:divBdr>
                          <w:divsChild>
                            <w:div w:id="1739398556">
                              <w:marLeft w:val="0"/>
                              <w:marRight w:val="0"/>
                              <w:marTop w:val="0"/>
                              <w:marBottom w:val="30"/>
                              <w:divBdr>
                                <w:top w:val="none" w:sz="0" w:space="0" w:color="auto"/>
                                <w:left w:val="none" w:sz="0" w:space="0" w:color="auto"/>
                                <w:bottom w:val="none" w:sz="0" w:space="0" w:color="auto"/>
                                <w:right w:val="none" w:sz="0" w:space="0" w:color="auto"/>
                              </w:divBdr>
                              <w:divsChild>
                                <w:div w:id="282923993">
                                  <w:marLeft w:val="45"/>
                                  <w:marRight w:val="45"/>
                                  <w:marTop w:val="0"/>
                                  <w:marBottom w:val="0"/>
                                  <w:divBdr>
                                    <w:top w:val="none" w:sz="0" w:space="0" w:color="auto"/>
                                    <w:left w:val="none" w:sz="0" w:space="0" w:color="auto"/>
                                    <w:bottom w:val="none" w:sz="0" w:space="0" w:color="auto"/>
                                    <w:right w:val="none" w:sz="0" w:space="0" w:color="auto"/>
                                  </w:divBdr>
                                  <w:divsChild>
                                    <w:div w:id="123597053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1203132802">
      <w:bodyDiv w:val="1"/>
      <w:marLeft w:val="0"/>
      <w:marRight w:val="0"/>
      <w:marTop w:val="0"/>
      <w:marBottom w:val="0"/>
      <w:divBdr>
        <w:top w:val="none" w:sz="0" w:space="0" w:color="auto"/>
        <w:left w:val="none" w:sz="0" w:space="0" w:color="auto"/>
        <w:bottom w:val="none" w:sz="0" w:space="0" w:color="auto"/>
        <w:right w:val="none" w:sz="0" w:space="0" w:color="auto"/>
      </w:divBdr>
    </w:div>
    <w:div w:id="1220554034">
      <w:bodyDiv w:val="1"/>
      <w:marLeft w:val="0"/>
      <w:marRight w:val="0"/>
      <w:marTop w:val="0"/>
      <w:marBottom w:val="0"/>
      <w:divBdr>
        <w:top w:val="none" w:sz="0" w:space="0" w:color="auto"/>
        <w:left w:val="none" w:sz="0" w:space="0" w:color="auto"/>
        <w:bottom w:val="none" w:sz="0" w:space="0" w:color="auto"/>
        <w:right w:val="none" w:sz="0" w:space="0" w:color="auto"/>
      </w:divBdr>
    </w:div>
    <w:div w:id="1246383879">
      <w:bodyDiv w:val="1"/>
      <w:marLeft w:val="0"/>
      <w:marRight w:val="0"/>
      <w:marTop w:val="0"/>
      <w:marBottom w:val="0"/>
      <w:divBdr>
        <w:top w:val="none" w:sz="0" w:space="0" w:color="auto"/>
        <w:left w:val="none" w:sz="0" w:space="0" w:color="auto"/>
        <w:bottom w:val="none" w:sz="0" w:space="0" w:color="auto"/>
        <w:right w:val="none" w:sz="0" w:space="0" w:color="auto"/>
      </w:divBdr>
      <w:divsChild>
        <w:div w:id="601570257">
          <w:marLeft w:val="0"/>
          <w:marRight w:val="0"/>
          <w:marTop w:val="0"/>
          <w:marBottom w:val="0"/>
          <w:divBdr>
            <w:top w:val="none" w:sz="0" w:space="0" w:color="auto"/>
            <w:left w:val="none" w:sz="0" w:space="0" w:color="auto"/>
            <w:bottom w:val="none" w:sz="0" w:space="0" w:color="auto"/>
            <w:right w:val="none" w:sz="0" w:space="0" w:color="auto"/>
          </w:divBdr>
          <w:divsChild>
            <w:div w:id="1923026592">
              <w:marLeft w:val="0"/>
              <w:marRight w:val="0"/>
              <w:marTop w:val="0"/>
              <w:marBottom w:val="0"/>
              <w:divBdr>
                <w:top w:val="none" w:sz="0" w:space="0" w:color="auto"/>
                <w:left w:val="none" w:sz="0" w:space="0" w:color="auto"/>
                <w:bottom w:val="none" w:sz="0" w:space="0" w:color="auto"/>
                <w:right w:val="none" w:sz="0" w:space="0" w:color="auto"/>
              </w:divBdr>
              <w:divsChild>
                <w:div w:id="886113200">
                  <w:marLeft w:val="0"/>
                  <w:marRight w:val="0"/>
                  <w:marTop w:val="0"/>
                  <w:marBottom w:val="0"/>
                  <w:divBdr>
                    <w:top w:val="none" w:sz="0" w:space="0" w:color="auto"/>
                    <w:left w:val="none" w:sz="0" w:space="0" w:color="auto"/>
                    <w:bottom w:val="none" w:sz="0" w:space="0" w:color="auto"/>
                    <w:right w:val="none" w:sz="0" w:space="0" w:color="auto"/>
                  </w:divBdr>
                  <w:divsChild>
                    <w:div w:id="183718092">
                      <w:marLeft w:val="0"/>
                      <w:marRight w:val="0"/>
                      <w:marTop w:val="0"/>
                      <w:marBottom w:val="0"/>
                      <w:divBdr>
                        <w:top w:val="none" w:sz="0" w:space="0" w:color="auto"/>
                        <w:left w:val="none" w:sz="0" w:space="0" w:color="auto"/>
                        <w:bottom w:val="none" w:sz="0" w:space="0" w:color="auto"/>
                        <w:right w:val="none" w:sz="0" w:space="0" w:color="auto"/>
                      </w:divBdr>
                      <w:divsChild>
                        <w:div w:id="10776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288637">
      <w:bodyDiv w:val="1"/>
      <w:marLeft w:val="0"/>
      <w:marRight w:val="0"/>
      <w:marTop w:val="0"/>
      <w:marBottom w:val="0"/>
      <w:divBdr>
        <w:top w:val="none" w:sz="0" w:space="0" w:color="auto"/>
        <w:left w:val="none" w:sz="0" w:space="0" w:color="auto"/>
        <w:bottom w:val="none" w:sz="0" w:space="0" w:color="auto"/>
        <w:right w:val="none" w:sz="0" w:space="0" w:color="auto"/>
      </w:divBdr>
      <w:divsChild>
        <w:div w:id="1334182060">
          <w:marLeft w:val="0"/>
          <w:marRight w:val="0"/>
          <w:marTop w:val="0"/>
          <w:marBottom w:val="0"/>
          <w:divBdr>
            <w:top w:val="none" w:sz="0" w:space="0" w:color="auto"/>
            <w:left w:val="none" w:sz="0" w:space="0" w:color="auto"/>
            <w:bottom w:val="none" w:sz="0" w:space="0" w:color="auto"/>
            <w:right w:val="none" w:sz="0" w:space="0" w:color="auto"/>
          </w:divBdr>
          <w:divsChild>
            <w:div w:id="656760620">
              <w:marLeft w:val="0"/>
              <w:marRight w:val="0"/>
              <w:marTop w:val="0"/>
              <w:marBottom w:val="0"/>
              <w:divBdr>
                <w:top w:val="none" w:sz="0" w:space="0" w:color="auto"/>
                <w:left w:val="none" w:sz="0" w:space="0" w:color="auto"/>
                <w:bottom w:val="none" w:sz="0" w:space="0" w:color="auto"/>
                <w:right w:val="none" w:sz="0" w:space="0" w:color="auto"/>
              </w:divBdr>
              <w:divsChild>
                <w:div w:id="443579015">
                  <w:marLeft w:val="0"/>
                  <w:marRight w:val="0"/>
                  <w:marTop w:val="0"/>
                  <w:marBottom w:val="0"/>
                  <w:divBdr>
                    <w:top w:val="none" w:sz="0" w:space="0" w:color="auto"/>
                    <w:left w:val="none" w:sz="0" w:space="0" w:color="auto"/>
                    <w:bottom w:val="none" w:sz="0" w:space="0" w:color="auto"/>
                    <w:right w:val="none" w:sz="0" w:space="0" w:color="auto"/>
                  </w:divBdr>
                  <w:divsChild>
                    <w:div w:id="2040542422">
                      <w:marLeft w:val="0"/>
                      <w:marRight w:val="300"/>
                      <w:marTop w:val="0"/>
                      <w:marBottom w:val="0"/>
                      <w:divBdr>
                        <w:top w:val="none" w:sz="0" w:space="0" w:color="auto"/>
                        <w:left w:val="none" w:sz="0" w:space="0" w:color="auto"/>
                        <w:bottom w:val="none" w:sz="0" w:space="0" w:color="auto"/>
                        <w:right w:val="none" w:sz="0" w:space="0" w:color="auto"/>
                      </w:divBdr>
                      <w:divsChild>
                        <w:div w:id="941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422828">
      <w:bodyDiv w:val="1"/>
      <w:marLeft w:val="0"/>
      <w:marRight w:val="0"/>
      <w:marTop w:val="0"/>
      <w:marBottom w:val="0"/>
      <w:divBdr>
        <w:top w:val="none" w:sz="0" w:space="0" w:color="auto"/>
        <w:left w:val="none" w:sz="0" w:space="0" w:color="auto"/>
        <w:bottom w:val="none" w:sz="0" w:space="0" w:color="auto"/>
        <w:right w:val="none" w:sz="0" w:space="0" w:color="auto"/>
      </w:divBdr>
    </w:div>
    <w:div w:id="1362171602">
      <w:bodyDiv w:val="1"/>
      <w:marLeft w:val="0"/>
      <w:marRight w:val="0"/>
      <w:marTop w:val="0"/>
      <w:marBottom w:val="0"/>
      <w:divBdr>
        <w:top w:val="none" w:sz="0" w:space="0" w:color="auto"/>
        <w:left w:val="none" w:sz="0" w:space="0" w:color="auto"/>
        <w:bottom w:val="none" w:sz="0" w:space="0" w:color="auto"/>
        <w:right w:val="none" w:sz="0" w:space="0" w:color="auto"/>
      </w:divBdr>
    </w:div>
    <w:div w:id="1488594892">
      <w:bodyDiv w:val="1"/>
      <w:marLeft w:val="0"/>
      <w:marRight w:val="0"/>
      <w:marTop w:val="0"/>
      <w:marBottom w:val="0"/>
      <w:divBdr>
        <w:top w:val="none" w:sz="0" w:space="0" w:color="auto"/>
        <w:left w:val="none" w:sz="0" w:space="0" w:color="auto"/>
        <w:bottom w:val="none" w:sz="0" w:space="0" w:color="auto"/>
        <w:right w:val="none" w:sz="0" w:space="0" w:color="auto"/>
      </w:divBdr>
    </w:div>
    <w:div w:id="1613901324">
      <w:bodyDiv w:val="1"/>
      <w:marLeft w:val="0"/>
      <w:marRight w:val="0"/>
      <w:marTop w:val="0"/>
      <w:marBottom w:val="0"/>
      <w:divBdr>
        <w:top w:val="none" w:sz="0" w:space="0" w:color="auto"/>
        <w:left w:val="none" w:sz="0" w:space="0" w:color="auto"/>
        <w:bottom w:val="none" w:sz="0" w:space="0" w:color="auto"/>
        <w:right w:val="none" w:sz="0" w:space="0" w:color="auto"/>
      </w:divBdr>
    </w:div>
    <w:div w:id="1655526738">
      <w:bodyDiv w:val="1"/>
      <w:marLeft w:val="0"/>
      <w:marRight w:val="0"/>
      <w:marTop w:val="0"/>
      <w:marBottom w:val="0"/>
      <w:divBdr>
        <w:top w:val="none" w:sz="0" w:space="0" w:color="auto"/>
        <w:left w:val="none" w:sz="0" w:space="0" w:color="auto"/>
        <w:bottom w:val="none" w:sz="0" w:space="0" w:color="auto"/>
        <w:right w:val="none" w:sz="0" w:space="0" w:color="auto"/>
      </w:divBdr>
      <w:divsChild>
        <w:div w:id="2029062064">
          <w:marLeft w:val="0"/>
          <w:marRight w:val="0"/>
          <w:marTop w:val="0"/>
          <w:marBottom w:val="0"/>
          <w:divBdr>
            <w:top w:val="none" w:sz="0" w:space="0" w:color="auto"/>
            <w:left w:val="none" w:sz="0" w:space="0" w:color="auto"/>
            <w:bottom w:val="none" w:sz="0" w:space="0" w:color="auto"/>
            <w:right w:val="none" w:sz="0" w:space="0" w:color="auto"/>
          </w:divBdr>
          <w:divsChild>
            <w:div w:id="1965110642">
              <w:marLeft w:val="0"/>
              <w:marRight w:val="0"/>
              <w:marTop w:val="0"/>
              <w:marBottom w:val="750"/>
              <w:divBdr>
                <w:top w:val="none" w:sz="0" w:space="0" w:color="auto"/>
                <w:left w:val="none" w:sz="0" w:space="0" w:color="auto"/>
                <w:bottom w:val="none" w:sz="0" w:space="0" w:color="auto"/>
                <w:right w:val="none" w:sz="0" w:space="0" w:color="auto"/>
              </w:divBdr>
              <w:divsChild>
                <w:div w:id="182670358">
                  <w:marLeft w:val="-300"/>
                  <w:marRight w:val="0"/>
                  <w:marTop w:val="0"/>
                  <w:marBottom w:val="0"/>
                  <w:divBdr>
                    <w:top w:val="none" w:sz="0" w:space="0" w:color="auto"/>
                    <w:left w:val="none" w:sz="0" w:space="0" w:color="auto"/>
                    <w:bottom w:val="none" w:sz="0" w:space="0" w:color="auto"/>
                    <w:right w:val="none" w:sz="0" w:space="0" w:color="auto"/>
                  </w:divBdr>
                  <w:divsChild>
                    <w:div w:id="693771129">
                      <w:marLeft w:val="0"/>
                      <w:marRight w:val="0"/>
                      <w:marTop w:val="0"/>
                      <w:marBottom w:val="450"/>
                      <w:divBdr>
                        <w:top w:val="none" w:sz="0" w:space="0" w:color="auto"/>
                        <w:left w:val="none" w:sz="0" w:space="0" w:color="auto"/>
                        <w:bottom w:val="none" w:sz="0" w:space="0" w:color="auto"/>
                        <w:right w:val="none" w:sz="0" w:space="0" w:color="auto"/>
                      </w:divBdr>
                      <w:divsChild>
                        <w:div w:id="296879222">
                          <w:marLeft w:val="0"/>
                          <w:marRight w:val="0"/>
                          <w:marTop w:val="450"/>
                          <w:marBottom w:val="0"/>
                          <w:divBdr>
                            <w:top w:val="none" w:sz="0" w:space="0" w:color="auto"/>
                            <w:left w:val="none" w:sz="0" w:space="0" w:color="auto"/>
                            <w:bottom w:val="none" w:sz="0" w:space="0" w:color="auto"/>
                            <w:right w:val="none" w:sz="0" w:space="0" w:color="auto"/>
                          </w:divBdr>
                          <w:divsChild>
                            <w:div w:id="13775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6204">
      <w:bodyDiv w:val="1"/>
      <w:marLeft w:val="0"/>
      <w:marRight w:val="0"/>
      <w:marTop w:val="0"/>
      <w:marBottom w:val="0"/>
      <w:divBdr>
        <w:top w:val="none" w:sz="0" w:space="0" w:color="auto"/>
        <w:left w:val="none" w:sz="0" w:space="0" w:color="auto"/>
        <w:bottom w:val="none" w:sz="0" w:space="0" w:color="auto"/>
        <w:right w:val="none" w:sz="0" w:space="0" w:color="auto"/>
      </w:divBdr>
    </w:div>
    <w:div w:id="1679306463">
      <w:bodyDiv w:val="1"/>
      <w:marLeft w:val="0"/>
      <w:marRight w:val="0"/>
      <w:marTop w:val="0"/>
      <w:marBottom w:val="0"/>
      <w:divBdr>
        <w:top w:val="none" w:sz="0" w:space="0" w:color="auto"/>
        <w:left w:val="none" w:sz="0" w:space="0" w:color="auto"/>
        <w:bottom w:val="none" w:sz="0" w:space="0" w:color="auto"/>
        <w:right w:val="none" w:sz="0" w:space="0" w:color="auto"/>
      </w:divBdr>
    </w:div>
    <w:div w:id="1698385188">
      <w:bodyDiv w:val="1"/>
      <w:marLeft w:val="0"/>
      <w:marRight w:val="0"/>
      <w:marTop w:val="0"/>
      <w:marBottom w:val="0"/>
      <w:divBdr>
        <w:top w:val="none" w:sz="0" w:space="0" w:color="auto"/>
        <w:left w:val="none" w:sz="0" w:space="0" w:color="auto"/>
        <w:bottom w:val="none" w:sz="0" w:space="0" w:color="auto"/>
        <w:right w:val="none" w:sz="0" w:space="0" w:color="auto"/>
      </w:divBdr>
    </w:div>
    <w:div w:id="1753088296">
      <w:bodyDiv w:val="1"/>
      <w:marLeft w:val="0"/>
      <w:marRight w:val="0"/>
      <w:marTop w:val="0"/>
      <w:marBottom w:val="0"/>
      <w:divBdr>
        <w:top w:val="none" w:sz="0" w:space="0" w:color="auto"/>
        <w:left w:val="none" w:sz="0" w:space="0" w:color="auto"/>
        <w:bottom w:val="none" w:sz="0" w:space="0" w:color="auto"/>
        <w:right w:val="none" w:sz="0" w:space="0" w:color="auto"/>
      </w:divBdr>
      <w:divsChild>
        <w:div w:id="1167284002">
          <w:marLeft w:val="0"/>
          <w:marRight w:val="0"/>
          <w:marTop w:val="0"/>
          <w:marBottom w:val="0"/>
          <w:divBdr>
            <w:top w:val="none" w:sz="0" w:space="0" w:color="auto"/>
            <w:left w:val="none" w:sz="0" w:space="0" w:color="auto"/>
            <w:bottom w:val="none" w:sz="0" w:space="0" w:color="auto"/>
            <w:right w:val="none" w:sz="0" w:space="0" w:color="auto"/>
          </w:divBdr>
          <w:divsChild>
            <w:div w:id="612589510">
              <w:marLeft w:val="0"/>
              <w:marRight w:val="0"/>
              <w:marTop w:val="0"/>
              <w:marBottom w:val="0"/>
              <w:divBdr>
                <w:top w:val="none" w:sz="0" w:space="0" w:color="auto"/>
                <w:left w:val="none" w:sz="0" w:space="0" w:color="auto"/>
                <w:bottom w:val="none" w:sz="0" w:space="0" w:color="auto"/>
                <w:right w:val="none" w:sz="0" w:space="0" w:color="auto"/>
              </w:divBdr>
              <w:divsChild>
                <w:div w:id="1932859565">
                  <w:marLeft w:val="0"/>
                  <w:marRight w:val="0"/>
                  <w:marTop w:val="0"/>
                  <w:marBottom w:val="0"/>
                  <w:divBdr>
                    <w:top w:val="none" w:sz="0" w:space="0" w:color="auto"/>
                    <w:left w:val="none" w:sz="0" w:space="0" w:color="auto"/>
                    <w:bottom w:val="none" w:sz="0" w:space="0" w:color="auto"/>
                    <w:right w:val="none" w:sz="0" w:space="0" w:color="auto"/>
                  </w:divBdr>
                  <w:divsChild>
                    <w:div w:id="720791245">
                      <w:marLeft w:val="0"/>
                      <w:marRight w:val="0"/>
                      <w:marTop w:val="0"/>
                      <w:marBottom w:val="0"/>
                      <w:divBdr>
                        <w:top w:val="none" w:sz="0" w:space="0" w:color="auto"/>
                        <w:left w:val="none" w:sz="0" w:space="0" w:color="auto"/>
                        <w:bottom w:val="none" w:sz="0" w:space="0" w:color="auto"/>
                        <w:right w:val="none" w:sz="0" w:space="0" w:color="auto"/>
                      </w:divBdr>
                      <w:divsChild>
                        <w:div w:id="927276816">
                          <w:marLeft w:val="0"/>
                          <w:marRight w:val="0"/>
                          <w:marTop w:val="0"/>
                          <w:marBottom w:val="0"/>
                          <w:divBdr>
                            <w:top w:val="none" w:sz="0" w:space="0" w:color="auto"/>
                            <w:left w:val="none" w:sz="0" w:space="0" w:color="auto"/>
                            <w:bottom w:val="none" w:sz="0" w:space="0" w:color="auto"/>
                            <w:right w:val="none" w:sz="0" w:space="0" w:color="auto"/>
                          </w:divBdr>
                          <w:divsChild>
                            <w:div w:id="915020550">
                              <w:marLeft w:val="2850"/>
                              <w:marRight w:val="0"/>
                              <w:marTop w:val="0"/>
                              <w:marBottom w:val="0"/>
                              <w:divBdr>
                                <w:top w:val="none" w:sz="0" w:space="0" w:color="auto"/>
                                <w:left w:val="none" w:sz="0" w:space="0" w:color="auto"/>
                                <w:bottom w:val="none" w:sz="0" w:space="0" w:color="auto"/>
                                <w:right w:val="none" w:sz="0" w:space="0" w:color="auto"/>
                              </w:divBdr>
                              <w:divsChild>
                                <w:div w:id="766849336">
                                  <w:marLeft w:val="0"/>
                                  <w:marRight w:val="0"/>
                                  <w:marTop w:val="0"/>
                                  <w:marBottom w:val="0"/>
                                  <w:divBdr>
                                    <w:top w:val="none" w:sz="0" w:space="0" w:color="auto"/>
                                    <w:left w:val="none" w:sz="0" w:space="0" w:color="auto"/>
                                    <w:bottom w:val="none" w:sz="0" w:space="0" w:color="auto"/>
                                    <w:right w:val="none" w:sz="0" w:space="0" w:color="auto"/>
                                  </w:divBdr>
                                  <w:divsChild>
                                    <w:div w:id="888759267">
                                      <w:marLeft w:val="0"/>
                                      <w:marRight w:val="3000"/>
                                      <w:marTop w:val="0"/>
                                      <w:marBottom w:val="0"/>
                                      <w:divBdr>
                                        <w:top w:val="none" w:sz="0" w:space="0" w:color="auto"/>
                                        <w:left w:val="none" w:sz="0" w:space="0" w:color="auto"/>
                                        <w:bottom w:val="none" w:sz="0" w:space="0" w:color="auto"/>
                                        <w:right w:val="none" w:sz="0" w:space="0" w:color="auto"/>
                                      </w:divBdr>
                                      <w:divsChild>
                                        <w:div w:id="12600614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317919">
      <w:bodyDiv w:val="1"/>
      <w:marLeft w:val="0"/>
      <w:marRight w:val="0"/>
      <w:marTop w:val="0"/>
      <w:marBottom w:val="0"/>
      <w:divBdr>
        <w:top w:val="none" w:sz="0" w:space="0" w:color="auto"/>
        <w:left w:val="none" w:sz="0" w:space="0" w:color="auto"/>
        <w:bottom w:val="none" w:sz="0" w:space="0" w:color="auto"/>
        <w:right w:val="none" w:sz="0" w:space="0" w:color="auto"/>
      </w:divBdr>
    </w:div>
    <w:div w:id="1847206794">
      <w:bodyDiv w:val="1"/>
      <w:marLeft w:val="0"/>
      <w:marRight w:val="0"/>
      <w:marTop w:val="0"/>
      <w:marBottom w:val="0"/>
      <w:divBdr>
        <w:top w:val="none" w:sz="0" w:space="0" w:color="auto"/>
        <w:left w:val="none" w:sz="0" w:space="0" w:color="auto"/>
        <w:bottom w:val="none" w:sz="0" w:space="0" w:color="auto"/>
        <w:right w:val="none" w:sz="0" w:space="0" w:color="auto"/>
      </w:divBdr>
    </w:div>
    <w:div w:id="1847330853">
      <w:bodyDiv w:val="1"/>
      <w:marLeft w:val="0"/>
      <w:marRight w:val="0"/>
      <w:marTop w:val="0"/>
      <w:marBottom w:val="0"/>
      <w:divBdr>
        <w:top w:val="none" w:sz="0" w:space="0" w:color="auto"/>
        <w:left w:val="none" w:sz="0" w:space="0" w:color="auto"/>
        <w:bottom w:val="none" w:sz="0" w:space="0" w:color="auto"/>
        <w:right w:val="none" w:sz="0" w:space="0" w:color="auto"/>
      </w:divBdr>
    </w:div>
    <w:div w:id="1894466743">
      <w:bodyDiv w:val="1"/>
      <w:marLeft w:val="0"/>
      <w:marRight w:val="0"/>
      <w:marTop w:val="0"/>
      <w:marBottom w:val="0"/>
      <w:divBdr>
        <w:top w:val="none" w:sz="0" w:space="0" w:color="auto"/>
        <w:left w:val="none" w:sz="0" w:space="0" w:color="auto"/>
        <w:bottom w:val="none" w:sz="0" w:space="0" w:color="auto"/>
        <w:right w:val="none" w:sz="0" w:space="0" w:color="auto"/>
      </w:divBdr>
    </w:div>
    <w:div w:id="1988312865">
      <w:bodyDiv w:val="1"/>
      <w:marLeft w:val="0"/>
      <w:marRight w:val="0"/>
      <w:marTop w:val="0"/>
      <w:marBottom w:val="0"/>
      <w:divBdr>
        <w:top w:val="none" w:sz="0" w:space="0" w:color="auto"/>
        <w:left w:val="none" w:sz="0" w:space="0" w:color="auto"/>
        <w:bottom w:val="none" w:sz="0" w:space="0" w:color="auto"/>
        <w:right w:val="none" w:sz="0" w:space="0" w:color="auto"/>
      </w:divBdr>
    </w:div>
    <w:div w:id="2017415994">
      <w:bodyDiv w:val="1"/>
      <w:marLeft w:val="0"/>
      <w:marRight w:val="0"/>
      <w:marTop w:val="0"/>
      <w:marBottom w:val="0"/>
      <w:divBdr>
        <w:top w:val="none" w:sz="0" w:space="0" w:color="auto"/>
        <w:left w:val="none" w:sz="0" w:space="0" w:color="auto"/>
        <w:bottom w:val="none" w:sz="0" w:space="0" w:color="auto"/>
        <w:right w:val="none" w:sz="0" w:space="0" w:color="auto"/>
      </w:divBdr>
    </w:div>
    <w:div w:id="20662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productsafety.regulation@acc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onsultation.accc.gov.au/" TargetMode="External"/><Relationship Id="rId2" Type="http://schemas.openxmlformats.org/officeDocument/2006/relationships/numbering" Target="numbering.xml"/><Relationship Id="rId16" Type="http://schemas.openxmlformats.org/officeDocument/2006/relationships/hyperlink" Target="http://en.wikipedia.org/wiki/Textile" TargetMode="External"/><Relationship Id="rId20" Type="http://schemas.openxmlformats.org/officeDocument/2006/relationships/hyperlink" Target="http://www.nicnas.gov.au/chemical-information/imap-assessments/imap-group-assessment-report?assessment_id=5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consultation.accc.gov.au/" TargetMode="External"/><Relationship Id="rId10" Type="http://schemas.openxmlformats.org/officeDocument/2006/relationships/header" Target="header1.xml"/><Relationship Id="rId19" Type="http://schemas.openxmlformats.org/officeDocument/2006/relationships/hyperlink" Target="http://www.acc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businessweek.com/articles/2015-01-07/oil-falls-below-50-goldmans-guru-says-the-crash-is-right-on-time" TargetMode="External"/><Relationship Id="rId18" Type="http://schemas.openxmlformats.org/officeDocument/2006/relationships/hyperlink" Target="http://www.comlaw.gov.au/Details/F2014L00566" TargetMode="External"/><Relationship Id="rId26" Type="http://schemas.openxmlformats.org/officeDocument/2006/relationships/hyperlink" Target="https://www.dpmc.gov.au/deregulation/obpr/reporting-publications/publications.cfm" TargetMode="External"/><Relationship Id="rId39" Type="http://schemas.openxmlformats.org/officeDocument/2006/relationships/hyperlink" Target="http://www.abs.gov.au/AUSSTATS/abs@.nsf/DetailsPage/8165.0Jun%202009%20to%20Jun%202013?OpenDocument" TargetMode="External"/><Relationship Id="rId3" Type="http://schemas.openxmlformats.org/officeDocument/2006/relationships/hyperlink" Target="http://www.nicnas.gov.au/chemical-information/imap-assessments/imap-group-assessment-report?assessment_id=513" TargetMode="External"/><Relationship Id="rId21" Type="http://schemas.openxmlformats.org/officeDocument/2006/relationships/hyperlink" Target="https://www.accc.gov.au/about-us/australian-competition-consumer-commission/compliance-enforcement-policy" TargetMode="External"/><Relationship Id="rId34" Type="http://schemas.openxmlformats.org/officeDocument/2006/relationships/hyperlink" Target="http://cancercouncil.com.au/wp-content/uploads/2010/11/costofcancer_costs.pdf" TargetMode="External"/><Relationship Id="rId42" Type="http://schemas.openxmlformats.org/officeDocument/2006/relationships/hyperlink" Target="http://www.intertek.com/textiles/gb-18401/" TargetMode="External"/><Relationship Id="rId47" Type="http://schemas.openxmlformats.org/officeDocument/2006/relationships/hyperlink" Target="http://www.nicnas.gov.au/chemical-information/imap-assessments/imap-group-assessment-report?assessment_id=513" TargetMode="External"/><Relationship Id="rId50" Type="http://schemas.openxmlformats.org/officeDocument/2006/relationships/hyperlink" Target="http://www.abs.gov.au/AUSSTATS/abs@.nsf/DetailsPage/8165.0Jun%202009%20to%20Jun%202013?OpenDocument" TargetMode="External"/><Relationship Id="rId7" Type="http://schemas.openxmlformats.org/officeDocument/2006/relationships/hyperlink" Target="http://www.economist.com/node/21569570/print" TargetMode="External"/><Relationship Id="rId12" Type="http://schemas.openxmlformats.org/officeDocument/2006/relationships/hyperlink" Target="http://www.eia.gov/dnav/pet/hist/LeafHandler.ashx?n=PET&amp;s=RWTC&amp;f=D" TargetMode="External"/><Relationship Id="rId17" Type="http://schemas.openxmlformats.org/officeDocument/2006/relationships/hyperlink" Target="https://www.oeko-tex.com/media/downloads/OETS_100_Consumer-Survey_2012_en.pdf" TargetMode="External"/><Relationship Id="rId25" Type="http://schemas.openxmlformats.org/officeDocument/2006/relationships/hyperlink" Target="https://www.dpmc.gov.au/deregulation/obpr/reporting-publications/publications/guidance/docs/005_Regulatory_Burden_Measurement_Framework.pdf" TargetMode="External"/><Relationship Id="rId33" Type="http://schemas.openxmlformats.org/officeDocument/2006/relationships/hyperlink" Target="http://www.cancercouncil.com.au/wp-content/uploads/2010/11/costofcancer_summary.pdf" TargetMode="External"/><Relationship Id="rId38" Type="http://schemas.openxmlformats.org/officeDocument/2006/relationships/hyperlink" Target="http://outsourcing-center.com/2009-06-how-to-manage-and-mitigate-offshore-risks-article-37409.html" TargetMode="External"/><Relationship Id="rId46" Type="http://schemas.openxmlformats.org/officeDocument/2006/relationships/hyperlink" Target="https://www.federalregister.gov/regulations/2070-AJ73/significant-new-use-rule-snur-benzidine-based-dyes-di-n-pentyl-phthalate-dnpp-and-alkanes-c12-13-chl" TargetMode="External"/><Relationship Id="rId2" Type="http://schemas.openxmlformats.org/officeDocument/2006/relationships/hyperlink" Target="http://monographs.iarc.fr/ENG/Classification/ClassificationsAlphaOrder.pdf" TargetMode="External"/><Relationship Id="rId16" Type="http://schemas.openxmlformats.org/officeDocument/2006/relationships/hyperlink" Target="http://www.performancedays.eu/ethics-manufacturing-social-responsibility-in-apparel-sourcing.html" TargetMode="External"/><Relationship Id="rId20" Type="http://schemas.openxmlformats.org/officeDocument/2006/relationships/hyperlink" Target="http://www.productsafety.gov.au/content/index.phtml/itemId/1009938" TargetMode="External"/><Relationship Id="rId29" Type="http://schemas.openxmlformats.org/officeDocument/2006/relationships/hyperlink" Target="http://www.nicnas.gov.au/chemical-information/imap-assessments/imap-group-assessment-report?assessment_id=513" TargetMode="External"/><Relationship Id="rId41" Type="http://schemas.openxmlformats.org/officeDocument/2006/relationships/hyperlink" Target="https://www.iaaqaservices.bureauveritas.com/reach-ccr/regulation_updates/59737.html" TargetMode="External"/><Relationship Id="rId1" Type="http://schemas.openxmlformats.org/officeDocument/2006/relationships/hyperlink" Target="http://www.cuttingredtape.gov.au/sites/default/files/documents/australian_government_guide_regulation.pdf" TargetMode="External"/><Relationship Id="rId6" Type="http://schemas.openxmlformats.org/officeDocument/2006/relationships/hyperlink" Target="http://outsourcing-center.com/2009-06-how-to-manage-and-mitigate-offshore-risks-article-37409.html" TargetMode="External"/><Relationship Id="rId11" Type="http://schemas.openxmlformats.org/officeDocument/2006/relationships/hyperlink" Target="http://www.ec.gc.ca/ese-ees/default.asp?lang=En&amp;n=AB88B1AB-1" TargetMode="External"/><Relationship Id="rId24" Type="http://schemas.openxmlformats.org/officeDocument/2006/relationships/hyperlink" Target="http://www.consumerlaw.gov.au/content/Content.aspx?doc=fact_sheets/safety.htm" TargetMode="External"/><Relationship Id="rId32" Type="http://schemas.openxmlformats.org/officeDocument/2006/relationships/hyperlink" Target="http://www.ucurology.org/areas-of-specialization/bladder-cancer" TargetMode="External"/><Relationship Id="rId37" Type="http://schemas.openxmlformats.org/officeDocument/2006/relationships/hyperlink" Target="http://www.economist.com/node/21569570/print" TargetMode="External"/><Relationship Id="rId40" Type="http://schemas.openxmlformats.org/officeDocument/2006/relationships/hyperlink" Target="http://eur-lex.europa.eu/LexUriServ/LexUriServ.do?uri=OJ:L:2009:164:0007:0031:en:PDF" TargetMode="External"/><Relationship Id="rId45" Type="http://schemas.openxmlformats.org/officeDocument/2006/relationships/hyperlink" Target="http://www.nicnas.gov.au/chemical-information/imap-assessments/imap-group-assessment-report?assessment_id=513" TargetMode="External"/><Relationship Id="rId5" Type="http://schemas.openxmlformats.org/officeDocument/2006/relationships/hyperlink" Target="http://www.cancercouncil.com.au/wp-content/uploads/2010/11/costofcancer_summary.pdf" TargetMode="External"/><Relationship Id="rId15" Type="http://schemas.openxmlformats.org/officeDocument/2006/relationships/hyperlink" Target="https://oecotextiles.wordpress.com/category/certifications-2/oeko-tex-certifications/" TargetMode="External"/><Relationship Id="rId23" Type="http://schemas.openxmlformats.org/officeDocument/2006/relationships/hyperlink" Target="http://www.pc.gov.au/__data/assets/pdf_file/0008/79172/consumer2.pdf" TargetMode="External"/><Relationship Id="rId28" Type="http://schemas.openxmlformats.org/officeDocument/2006/relationships/hyperlink" Target="http://www.consumerlaw.gov.au/content/Content.aspx?doc=fact_sheets/safety.htm" TargetMode="External"/><Relationship Id="rId36" Type="http://schemas.openxmlformats.org/officeDocument/2006/relationships/hyperlink" Target="http://www.nicnas.gov.au/regulation-and-compliance/nicnas-handbook/handbook-main-content/do-i-need-to-register-with-nicnas/what-is-an-industrial-chemical" TargetMode="External"/><Relationship Id="rId49" Type="http://schemas.openxmlformats.org/officeDocument/2006/relationships/hyperlink" Target="http://www.abs.gov.au/ausstats/abs@.nsf/mf/3101.0" TargetMode="External"/><Relationship Id="rId10" Type="http://schemas.openxmlformats.org/officeDocument/2006/relationships/hyperlink" Target="http://www.huffingtonpost.com/2013/02/20/chinese-uniforms-dyes-cancer_n_2720399.html" TargetMode="External"/><Relationship Id="rId19" Type="http://schemas.openxmlformats.org/officeDocument/2006/relationships/hyperlink" Target="http://www.aic.gov.au/documents/B/A/0/%7BBA0FC2D0-B43E-4CB6-A5AD-95ACE70542AA%7DRPP57.pdf" TargetMode="External"/><Relationship Id="rId31" Type="http://schemas.openxmlformats.org/officeDocument/2006/relationships/hyperlink" Target="http://ntp.niehs.nih.gov/ntp/roc/twelfth/roc12.pdf" TargetMode="External"/><Relationship Id="rId44" Type="http://schemas.openxmlformats.org/officeDocument/2006/relationships/hyperlink" Target="http://www.cti-cert.com/en/news/news_de.aspx?id=3707" TargetMode="External"/><Relationship Id="rId4" Type="http://schemas.openxmlformats.org/officeDocument/2006/relationships/hyperlink" Target="http://www.cancer.org.au/about-cancer/what-is-cancer/facts-and-figures.html" TargetMode="External"/><Relationship Id="rId9" Type="http://schemas.openxmlformats.org/officeDocument/2006/relationships/hyperlink" Target="http://www.pc.gov.au/__data/assets/pdf_file/0005/8447/tiam.pdf" TargetMode="External"/><Relationship Id="rId14" Type="http://schemas.openxmlformats.org/officeDocument/2006/relationships/hyperlink" Target="http://theconsumerfactor.com/en/criteria-lead-consumers-brand-switching/" TargetMode="External"/><Relationship Id="rId22" Type="http://schemas.openxmlformats.org/officeDocument/2006/relationships/hyperlink" Target="http://www.accc.gov.au/about-us/australian-competition-consumer-commission/compliance-enforcement-policy" TargetMode="External"/><Relationship Id="rId27" Type="http://schemas.openxmlformats.org/officeDocument/2006/relationships/hyperlink" Target="http://eur-lex.europa.eu/legal-content/EN/TXT/PDF/?uri=CELEX:32006R1907&amp;from=en" TargetMode="External"/><Relationship Id="rId30" Type="http://schemas.openxmlformats.org/officeDocument/2006/relationships/hyperlink" Target="http://www.cancercouncil.com.au/73739/b1000/bladder-cancer-10/bladder-cancer-statistics/" TargetMode="External"/><Relationship Id="rId35" Type="http://schemas.openxmlformats.org/officeDocument/2006/relationships/hyperlink" Target="http://www.cancercouncil.com.au/wp-content/uploads/2010/11/costofcancer_summary.pdf" TargetMode="External"/><Relationship Id="rId43" Type="http://schemas.openxmlformats.org/officeDocument/2006/relationships/hyperlink" Target="http://www.gmn.hkpc.org/en_newsletter_details.asp?id=62" TargetMode="External"/><Relationship Id="rId48" Type="http://schemas.openxmlformats.org/officeDocument/2006/relationships/hyperlink" Target="http://www.ec.gc.ca/ese-ees/default.asp?lang=En&amp;n=AB88B1AB-1" TargetMode="External"/><Relationship Id="rId8" Type="http://schemas.openxmlformats.org/officeDocument/2006/relationships/hyperlink" Target="http://www.industryweek.com/transportation/going-abroad-dont-forget-supply-chain-safety-risks" TargetMode="External"/><Relationship Id="rId51" Type="http://schemas.openxmlformats.org/officeDocument/2006/relationships/hyperlink" Target="https://www.dpmc.gov.au/deregulation/obpr/reporting-publications/publications/guidance/docs/005_Regulatory_Burden_Measurement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39DB-86EC-43AD-AD5A-10A6E7FB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B9BB97BF</Template>
  <TotalTime>7</TotalTime>
  <Pages>55</Pages>
  <Words>19400</Words>
  <Characters>110584</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129725</CharactersWithSpaces>
  <SharedDoc>false</SharedDoc>
  <HLinks>
    <vt:vector size="12" baseType="variant">
      <vt:variant>
        <vt:i4>2621485</vt:i4>
      </vt:variant>
      <vt:variant>
        <vt:i4>3</vt:i4>
      </vt:variant>
      <vt:variant>
        <vt:i4>0</vt:i4>
      </vt:variant>
      <vt:variant>
        <vt:i4>5</vt:i4>
      </vt:variant>
      <vt:variant>
        <vt:lpwstr>http://www.twitter.com/ProductSafetyAU</vt:lpwstr>
      </vt:variant>
      <vt:variant>
        <vt:lpwstr/>
      </vt:variant>
      <vt:variant>
        <vt:i4>1507422</vt:i4>
      </vt:variant>
      <vt:variant>
        <vt:i4>0</vt:i4>
      </vt:variant>
      <vt:variant>
        <vt:i4>0</vt:i4>
      </vt:variant>
      <vt:variant>
        <vt:i4>5</vt:i4>
      </vt:variant>
      <vt:variant>
        <vt:lpwstr>http://www.productsafety.gov.au/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sbell</dc:creator>
  <cp:keywords/>
  <dc:description/>
  <cp:lastModifiedBy>Bell, Simon</cp:lastModifiedBy>
  <cp:revision>7</cp:revision>
  <cp:lastPrinted>2015-02-18T01:32:00Z</cp:lastPrinted>
  <dcterms:created xsi:type="dcterms:W3CDTF">2015-02-19T20:18:00Z</dcterms:created>
  <dcterms:modified xsi:type="dcterms:W3CDTF">2015-02-23T00:54:00Z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8379859</vt:lpwstr>
  </property>
  <property fmtid="{D5CDD505-2E9C-101B-9397-08002B2CF9AE}" pid="3" name="currfile">
    <vt:lpwstr>\\cdchnas-evs02\home$\sbell\draft regulation impact statement - options to limit consumer exposure to hazardous azo dyes in certain clothing textil (D2015-00021373).docx</vt:lpwstr>
  </property>
</Properties>
</file>